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49" w:type="pct"/>
        <w:tblLook w:val="04A0" w:firstRow="1" w:lastRow="0" w:firstColumn="1" w:lastColumn="0" w:noHBand="0" w:noVBand="1"/>
      </w:tblPr>
      <w:tblGrid>
        <w:gridCol w:w="583"/>
        <w:gridCol w:w="475"/>
        <w:gridCol w:w="656"/>
        <w:gridCol w:w="1772"/>
        <w:gridCol w:w="1284"/>
        <w:gridCol w:w="2343"/>
        <w:gridCol w:w="2343"/>
        <w:gridCol w:w="1440"/>
      </w:tblGrid>
      <w:tr w:rsidR="00D92FD9" w:rsidRPr="00090797" w:rsidTr="00327688">
        <w:trPr>
          <w:cantSplit/>
          <w:trHeight w:val="395"/>
          <w:tblHeader/>
        </w:trPr>
        <w:tc>
          <w:tcPr>
            <w:tcW w:w="268" w:type="pct"/>
            <w:shd w:val="clear" w:color="auto" w:fill="F2F2F2"/>
            <w:textDirection w:val="btLr"/>
          </w:tcPr>
          <w:p w:rsidR="00D92FD9" w:rsidRPr="008534BF" w:rsidRDefault="00D92FD9" w:rsidP="00327688">
            <w:pPr>
              <w:widowControl/>
              <w:snapToGrid w:val="0"/>
              <w:ind w:left="113" w:right="113"/>
              <w:jc w:val="center"/>
              <w:rPr>
                <w:rFonts w:ascii="Verdana" w:eastAsia="細明體" w:hAnsi="Verdana" w:cs="細明體"/>
                <w:b/>
                <w:bCs/>
                <w:i/>
                <w:iCs/>
                <w:color w:val="303030"/>
                <w:sz w:val="18"/>
                <w:szCs w:val="18"/>
              </w:rPr>
            </w:pPr>
            <w:bookmarkStart w:id="0" w:name="_GoBack"/>
          </w:p>
        </w:tc>
        <w:tc>
          <w:tcPr>
            <w:tcW w:w="216" w:type="pct"/>
            <w:shd w:val="clear" w:color="auto" w:fill="F2F2F2"/>
            <w:textDirection w:val="btLr"/>
          </w:tcPr>
          <w:p w:rsidR="00D92FD9" w:rsidRPr="008534BF" w:rsidRDefault="00D92FD9" w:rsidP="00327688">
            <w:pPr>
              <w:widowControl/>
              <w:snapToGrid w:val="0"/>
              <w:ind w:left="113" w:right="113"/>
              <w:jc w:val="center"/>
              <w:rPr>
                <w:rFonts w:eastAsia="標楷體"/>
                <w:sz w:val="18"/>
                <w:szCs w:val="18"/>
              </w:rPr>
            </w:pPr>
          </w:p>
        </w:tc>
        <w:tc>
          <w:tcPr>
            <w:tcW w:w="301" w:type="pct"/>
            <w:shd w:val="clear" w:color="auto" w:fill="F2F2F2"/>
            <w:vAlign w:val="center"/>
          </w:tcPr>
          <w:p w:rsidR="00D92FD9" w:rsidRPr="00DC291E" w:rsidRDefault="00D92FD9" w:rsidP="00327688">
            <w:pPr>
              <w:widowControl/>
              <w:snapToGrid w:val="0"/>
              <w:jc w:val="center"/>
              <w:rPr>
                <w:rFonts w:eastAsia="標楷體"/>
                <w:b/>
                <w:sz w:val="12"/>
                <w:szCs w:val="18"/>
              </w:rPr>
            </w:pPr>
            <w:r w:rsidRPr="00DC291E">
              <w:rPr>
                <w:rFonts w:eastAsia="標楷體"/>
                <w:b/>
                <w:sz w:val="12"/>
                <w:szCs w:val="18"/>
              </w:rPr>
              <w:t xml:space="preserve">Paper </w:t>
            </w:r>
            <w:r w:rsidRPr="00DC291E">
              <w:rPr>
                <w:rFonts w:eastAsia="標楷體"/>
                <w:b/>
                <w:sz w:val="16"/>
                <w:szCs w:val="18"/>
              </w:rPr>
              <w:t>No</w:t>
            </w:r>
          </w:p>
        </w:tc>
        <w:tc>
          <w:tcPr>
            <w:tcW w:w="813" w:type="pct"/>
            <w:shd w:val="clear" w:color="auto" w:fill="F2F2F2"/>
            <w:vAlign w:val="center"/>
          </w:tcPr>
          <w:p w:rsidR="00D92FD9" w:rsidRPr="006D6C3D" w:rsidRDefault="00D92FD9" w:rsidP="00327688">
            <w:pPr>
              <w:widowControl/>
              <w:spacing w:line="240" w:lineRule="exact"/>
              <w:jc w:val="center"/>
              <w:rPr>
                <w:rFonts w:eastAsia="細明體"/>
                <w:b/>
                <w:bCs/>
                <w:sz w:val="18"/>
                <w:szCs w:val="18"/>
              </w:rPr>
            </w:pPr>
            <w:r w:rsidRPr="006D6C3D">
              <w:rPr>
                <w:rFonts w:eastAsia="細明體"/>
                <w:b/>
                <w:bCs/>
                <w:sz w:val="18"/>
                <w:szCs w:val="18"/>
              </w:rPr>
              <w:t>Model</w:t>
            </w:r>
            <w:r>
              <w:rPr>
                <w:rFonts w:eastAsia="細明體"/>
                <w:b/>
                <w:bCs/>
                <w:sz w:val="18"/>
                <w:szCs w:val="18"/>
              </w:rPr>
              <w:t>/System</w:t>
            </w:r>
          </w:p>
        </w:tc>
        <w:tc>
          <w:tcPr>
            <w:tcW w:w="589" w:type="pct"/>
            <w:shd w:val="clear" w:color="auto" w:fill="F2F2F2"/>
            <w:vAlign w:val="center"/>
          </w:tcPr>
          <w:p w:rsidR="00D92FD9" w:rsidRPr="006D6C3D" w:rsidRDefault="00D92FD9" w:rsidP="00327688">
            <w:pPr>
              <w:widowControl/>
              <w:spacing w:line="240" w:lineRule="exact"/>
              <w:jc w:val="center"/>
              <w:rPr>
                <w:rFonts w:eastAsia="細明體"/>
                <w:sz w:val="18"/>
                <w:szCs w:val="18"/>
              </w:rPr>
            </w:pPr>
            <w:r w:rsidRPr="006D6C3D">
              <w:rPr>
                <w:rFonts w:eastAsia="細明體"/>
                <w:b/>
                <w:bCs/>
                <w:sz w:val="18"/>
                <w:szCs w:val="18"/>
              </w:rPr>
              <w:t>Method</w:t>
            </w:r>
          </w:p>
        </w:tc>
        <w:tc>
          <w:tcPr>
            <w:tcW w:w="1075" w:type="pct"/>
            <w:shd w:val="clear" w:color="auto" w:fill="F2F2F2"/>
            <w:vAlign w:val="center"/>
          </w:tcPr>
          <w:p w:rsidR="00D92FD9" w:rsidRPr="006D6C3D" w:rsidRDefault="00D92FD9" w:rsidP="00327688">
            <w:pPr>
              <w:widowControl/>
              <w:spacing w:line="240" w:lineRule="exact"/>
              <w:jc w:val="center"/>
              <w:rPr>
                <w:rFonts w:eastAsia="細明體"/>
                <w:sz w:val="18"/>
                <w:szCs w:val="18"/>
              </w:rPr>
            </w:pPr>
            <w:r w:rsidRPr="006D6C3D">
              <w:rPr>
                <w:rFonts w:eastAsia="細明體"/>
                <w:b/>
                <w:bCs/>
                <w:sz w:val="18"/>
                <w:szCs w:val="18"/>
              </w:rPr>
              <w:t>Application</w:t>
            </w:r>
          </w:p>
        </w:tc>
        <w:tc>
          <w:tcPr>
            <w:tcW w:w="1075" w:type="pct"/>
            <w:shd w:val="clear" w:color="auto" w:fill="F2F2F2"/>
            <w:vAlign w:val="center"/>
          </w:tcPr>
          <w:p w:rsidR="00D92FD9" w:rsidRPr="006D6C3D" w:rsidRDefault="00D92FD9" w:rsidP="00327688">
            <w:pPr>
              <w:widowControl/>
              <w:spacing w:line="240" w:lineRule="exact"/>
              <w:jc w:val="center"/>
              <w:rPr>
                <w:rFonts w:eastAsia="細明體"/>
                <w:sz w:val="18"/>
                <w:szCs w:val="18"/>
              </w:rPr>
            </w:pPr>
            <w:r w:rsidRPr="006D6C3D">
              <w:rPr>
                <w:rFonts w:eastAsia="細明體"/>
                <w:b/>
                <w:bCs/>
                <w:sz w:val="18"/>
                <w:szCs w:val="18"/>
              </w:rPr>
              <w:t>Description</w:t>
            </w:r>
          </w:p>
        </w:tc>
        <w:tc>
          <w:tcPr>
            <w:tcW w:w="661" w:type="pct"/>
            <w:shd w:val="clear" w:color="auto" w:fill="F2F2F2"/>
            <w:vAlign w:val="center"/>
          </w:tcPr>
          <w:p w:rsidR="00D92FD9" w:rsidRPr="006D6C3D" w:rsidRDefault="00D92FD9" w:rsidP="00327688">
            <w:pPr>
              <w:widowControl/>
              <w:spacing w:line="240" w:lineRule="exact"/>
              <w:jc w:val="center"/>
              <w:rPr>
                <w:rFonts w:eastAsia="細明體"/>
                <w:sz w:val="18"/>
                <w:szCs w:val="18"/>
              </w:rPr>
            </w:pPr>
            <w:r w:rsidRPr="006D6C3D">
              <w:rPr>
                <w:rFonts w:eastAsia="細明體"/>
                <w:b/>
                <w:bCs/>
                <w:sz w:val="18"/>
                <w:szCs w:val="18"/>
              </w:rPr>
              <w:t>Software</w:t>
            </w:r>
          </w:p>
        </w:tc>
      </w:tr>
      <w:tr w:rsidR="00D92FD9" w:rsidRPr="006D6C3D" w:rsidTr="00327688">
        <w:trPr>
          <w:cantSplit/>
          <w:trHeight w:val="1340"/>
        </w:trPr>
        <w:tc>
          <w:tcPr>
            <w:tcW w:w="268" w:type="pct"/>
            <w:vMerge w:val="restart"/>
            <w:textDirection w:val="btLr"/>
          </w:tcPr>
          <w:p w:rsidR="00D92FD9" w:rsidRPr="006D6C3D" w:rsidRDefault="00D92FD9" w:rsidP="00327688">
            <w:pPr>
              <w:widowControl/>
              <w:snapToGrid w:val="0"/>
              <w:ind w:left="113" w:right="113"/>
              <w:jc w:val="center"/>
              <w:rPr>
                <w:rFonts w:eastAsia="標楷體"/>
                <w:sz w:val="18"/>
                <w:szCs w:val="18"/>
              </w:rPr>
            </w:pPr>
            <w:r w:rsidRPr="006D6C3D">
              <w:rPr>
                <w:rFonts w:ascii="Verdana" w:hAnsi="Verdana"/>
                <w:b/>
                <w:bCs/>
                <w:i/>
                <w:iCs/>
                <w:color w:val="303030"/>
                <w:sz w:val="18"/>
                <w:szCs w:val="18"/>
                <w:shd w:val="clear" w:color="auto" w:fill="FFFFFF"/>
              </w:rPr>
              <w:t>Quality, Satisfaction &amp; Operations Management</w:t>
            </w:r>
          </w:p>
        </w:tc>
        <w:tc>
          <w:tcPr>
            <w:tcW w:w="216" w:type="pct"/>
            <w:vMerge w:val="restart"/>
            <w:textDirection w:val="btLr"/>
            <w:vAlign w:val="center"/>
          </w:tcPr>
          <w:p w:rsidR="00D92FD9" w:rsidRPr="006D6C3D" w:rsidRDefault="00D92FD9" w:rsidP="00327688">
            <w:pPr>
              <w:widowControl/>
              <w:snapToGrid w:val="0"/>
              <w:ind w:left="113" w:right="113"/>
              <w:jc w:val="center"/>
              <w:rPr>
                <w:rFonts w:eastAsia="標楷體"/>
                <w:b/>
                <w:sz w:val="18"/>
                <w:szCs w:val="18"/>
              </w:rPr>
            </w:pPr>
            <w:r w:rsidRPr="006D6C3D">
              <w:rPr>
                <w:rFonts w:eastAsia="標楷體"/>
                <w:b/>
                <w:sz w:val="18"/>
                <w:szCs w:val="18"/>
              </w:rPr>
              <w:t>Transport Service Management</w:t>
            </w: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Multidimensional scaling analysis (MDS)</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MDS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Make suggestions to the current HSR ticket fare to set the feasible rate concerning the operating, passenger-perceived, and time-space compression costs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proposed model not only considers the profit margin, but also takes into account the safety, comfort, convenience, punctuality, and satisfaction of passengers</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IBM SPSS &amp; PROXSCAL</w:t>
            </w:r>
          </w:p>
        </w:tc>
      </w:tr>
      <w:tr w:rsidR="00D92FD9" w:rsidRPr="006D6C3D" w:rsidTr="00327688">
        <w:trPr>
          <w:cantSplit/>
          <w:trHeight w:val="1601"/>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w:t>
            </w:r>
          </w:p>
        </w:tc>
        <w:tc>
          <w:tcPr>
            <w:tcW w:w="813" w:type="pct"/>
            <w:vMerge w:val="restart"/>
            <w:vAlign w:val="center"/>
          </w:tcPr>
          <w:p w:rsidR="00D92FD9" w:rsidRPr="006D6C3D" w:rsidRDefault="00D92FD9" w:rsidP="00327688">
            <w:pPr>
              <w:widowControl/>
              <w:spacing w:line="240" w:lineRule="exact"/>
              <w:rPr>
                <w:rFonts w:ascii="Calibri" w:eastAsia="細明體" w:hAnsi="Calibri" w:cs="Calibri"/>
                <w:sz w:val="16"/>
                <w:szCs w:val="16"/>
              </w:rPr>
            </w:pPr>
            <w:r w:rsidRPr="006D6C3D">
              <w:rPr>
                <w:rFonts w:ascii="Calibri" w:eastAsia="細明體" w:hAnsi="Calibri" w:cs="Calibri"/>
                <w:sz w:val="16"/>
                <w:szCs w:val="16"/>
              </w:rPr>
              <w:t>Structural equation modeling (SEM)</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SEM</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Development of a systematic method of assessing the long-term performance of high-speed rail transport services, by which management units can adjust operating strategies to continuously improve services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longitudinal analysis in this study compared passenger</w:t>
            </w:r>
            <w:r>
              <w:rPr>
                <w:rFonts w:ascii="Calibri" w:eastAsia="細明體" w:hAnsi="Calibri" w:cs="Calibri"/>
                <w:sz w:val="16"/>
                <w:szCs w:val="16"/>
              </w:rPr>
              <w:t xml:space="preserve"> </w:t>
            </w:r>
            <w:r w:rsidRPr="006D6C3D">
              <w:rPr>
                <w:rFonts w:ascii="Calibri" w:eastAsia="細明體" w:hAnsi="Calibri" w:cs="Calibri"/>
                <w:sz w:val="16"/>
                <w:szCs w:val="16"/>
              </w:rPr>
              <w:t>perceptions of high-speed rail service quality in Taiwan and</w:t>
            </w:r>
            <w:r>
              <w:rPr>
                <w:rFonts w:ascii="Calibri" w:eastAsia="細明體" w:hAnsi="Calibri" w:cs="Calibri"/>
                <w:sz w:val="16"/>
                <w:szCs w:val="16"/>
              </w:rPr>
              <w:t xml:space="preserve"> </w:t>
            </w:r>
            <w:r w:rsidRPr="006D6C3D">
              <w:rPr>
                <w:rFonts w:ascii="Calibri" w:eastAsia="細明體" w:hAnsi="Calibri" w:cs="Calibri"/>
                <w:sz w:val="16"/>
                <w:szCs w:val="16"/>
              </w:rPr>
              <w:t>Korea to determine how such services can best improve operating revenue</w:t>
            </w:r>
          </w:p>
        </w:tc>
        <w:tc>
          <w:tcPr>
            <w:tcW w:w="661" w:type="pct"/>
          </w:tcPr>
          <w:p w:rsidR="00D92FD9" w:rsidRPr="009F31F8" w:rsidRDefault="00D92FD9" w:rsidP="005C49B5">
            <w:pPr>
              <w:widowControl/>
              <w:snapToGrid w:val="0"/>
              <w:rPr>
                <w:rFonts w:ascii="Calibri" w:eastAsia="標楷體" w:hAnsi="Calibri" w:cs="Calibri"/>
                <w:sz w:val="16"/>
                <w:szCs w:val="16"/>
              </w:rPr>
            </w:pPr>
            <w:r>
              <w:rPr>
                <w:rFonts w:ascii="Calibri" w:eastAsia="標楷體" w:hAnsi="Calibri" w:cs="Calibri" w:hint="eastAsia"/>
                <w:sz w:val="16"/>
                <w:szCs w:val="16"/>
              </w:rPr>
              <w:t xml:space="preserve">SPSS </w:t>
            </w:r>
          </w:p>
        </w:tc>
      </w:tr>
      <w:tr w:rsidR="00D92FD9" w:rsidRPr="006D6C3D" w:rsidTr="00327688">
        <w:trPr>
          <w:cantSplit/>
          <w:trHeight w:val="1134"/>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3</w:t>
            </w:r>
          </w:p>
        </w:tc>
        <w:tc>
          <w:tcPr>
            <w:tcW w:w="813" w:type="pct"/>
            <w:vMerge/>
          </w:tcPr>
          <w:p w:rsidR="00D92FD9" w:rsidRPr="009F31F8" w:rsidRDefault="00D92FD9" w:rsidP="00327688">
            <w:pPr>
              <w:widowControl/>
              <w:snapToGrid w:val="0"/>
              <w:rPr>
                <w:rFonts w:ascii="Calibri" w:eastAsia="標楷體" w:hAnsi="Calibri" w:cs="Calibri"/>
                <w:sz w:val="16"/>
                <w:szCs w:val="16"/>
              </w:rPr>
            </w:pP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SEM integrates characteristics of path analysis, confirmatory factor analysis (CFA), and structural regression models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By using the confirmatory findings of this study as a policy making reference and for clarifying resource use, the HSR can enhance passenger perceptions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analysis results indicated that leadership significantly correlated with employee cognition (0752); employee cognition significantly correlated with service quality and operations performance (0667 and 0724, respectively); service quality significantly correlated with corporate image (0755); however, operations performance had only weak correlations with service quality, corporate image, and customer recognition (0043, 0078, and 0373, respectively)</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SPSS &amp; AMOS</w:t>
            </w:r>
          </w:p>
        </w:tc>
      </w:tr>
      <w:tr w:rsidR="00D92FD9" w:rsidRPr="006D6C3D" w:rsidTr="00327688">
        <w:trPr>
          <w:cantSplit/>
          <w:trHeight w:val="1134"/>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4</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Passenger satisfaction index (PSI)</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SEM</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Deploying effective service strategy in the operations stage of high-speed rail</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Level of access to THSR station and personal space on KTX train are the top-priority quality indicators that need to be addressed to improve customer satisfaction and corporate profits</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AMOS</w:t>
            </w:r>
          </w:p>
        </w:tc>
      </w:tr>
      <w:tr w:rsidR="00D92FD9" w:rsidRPr="006D6C3D" w:rsidTr="00327688">
        <w:trPr>
          <w:cantSplit/>
          <w:trHeight w:val="1134"/>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5</w:t>
            </w:r>
          </w:p>
        </w:tc>
        <w:tc>
          <w:tcPr>
            <w:tcW w:w="813" w:type="pct"/>
          </w:tcPr>
          <w:p w:rsidR="00D92FD9" w:rsidRPr="009F31F8" w:rsidRDefault="00D92FD9" w:rsidP="00327688">
            <w:pPr>
              <w:widowControl/>
              <w:snapToGrid w:val="0"/>
              <w:rPr>
                <w:rFonts w:ascii="Calibri" w:eastAsia="標楷體" w:hAnsi="Calibri" w:cs="Calibri"/>
                <w:sz w:val="16"/>
                <w:szCs w:val="16"/>
              </w:rPr>
            </w:pPr>
            <w:r w:rsidRPr="006D6C3D">
              <w:rPr>
                <w:rFonts w:ascii="Calibri" w:eastAsia="細明體" w:hAnsi="Calibri" w:cs="Calibri"/>
                <w:sz w:val="16"/>
                <w:szCs w:val="16"/>
              </w:rPr>
              <w:t>Structural equation modeling (SEM)</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SEM includes path analysis, confirmatory factor analysis (CFA), structural regression models, and late change models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Measure the impact of mediating variables in the passenger continuance behavior on the QSL chain with high speed rail (HSR) service</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analysis provides an evidential basis with the evaluating indicators so that the management team can deploy an effective marketing strategy, achieve continuous quality improvement, and efficiently manage customer relationships to ensure passengers’ future commitment and confidence in the HSR systems</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SPSS &amp; AMOS</w:t>
            </w:r>
          </w:p>
        </w:tc>
      </w:tr>
      <w:tr w:rsidR="00D92FD9" w:rsidRPr="006D6C3D" w:rsidTr="00327688">
        <w:trPr>
          <w:cantSplit/>
          <w:trHeight w:val="57"/>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6</w:t>
            </w:r>
          </w:p>
        </w:tc>
        <w:tc>
          <w:tcPr>
            <w:tcW w:w="813" w:type="pct"/>
            <w:vAlign w:val="center"/>
          </w:tcPr>
          <w:p w:rsidR="00D92FD9" w:rsidRPr="009F31F8" w:rsidRDefault="00D92FD9" w:rsidP="00327688">
            <w:pPr>
              <w:widowControl/>
              <w:snapToGrid w:val="0"/>
              <w:rPr>
                <w:rFonts w:ascii="Calibri" w:eastAsia="標楷體" w:hAnsi="Calibri" w:cs="Calibri"/>
                <w:sz w:val="16"/>
                <w:szCs w:val="16"/>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vAlign w:val="center"/>
          </w:tcPr>
          <w:p w:rsidR="00D92FD9" w:rsidRPr="009F31F8" w:rsidRDefault="00D92FD9" w:rsidP="00327688">
            <w:pPr>
              <w:widowControl/>
              <w:snapToGrid w:val="0"/>
              <w:rPr>
                <w:rFonts w:ascii="Calibri" w:eastAsia="標楷體" w:hAnsi="Calibri" w:cs="Calibri"/>
                <w:b/>
                <w:sz w:val="16"/>
                <w:szCs w:val="16"/>
              </w:rPr>
            </w:pPr>
          </w:p>
        </w:tc>
        <w:tc>
          <w:tcPr>
            <w:tcW w:w="1075" w:type="pct"/>
            <w:vAlign w:val="center"/>
          </w:tcPr>
          <w:p w:rsidR="00D92FD9" w:rsidRPr="009F31F8" w:rsidRDefault="00D92FD9" w:rsidP="00327688">
            <w:pPr>
              <w:widowControl/>
              <w:snapToGrid w:val="0"/>
              <w:rPr>
                <w:rFonts w:ascii="Calibri" w:eastAsia="標楷體" w:hAnsi="Calibri" w:cs="Calibri"/>
                <w:sz w:val="16"/>
                <w:szCs w:val="16"/>
              </w:rPr>
            </w:pPr>
          </w:p>
        </w:tc>
        <w:tc>
          <w:tcPr>
            <w:tcW w:w="1075" w:type="pct"/>
            <w:vAlign w:val="center"/>
          </w:tcPr>
          <w:p w:rsidR="00D92FD9" w:rsidRPr="006D6C3D" w:rsidRDefault="00D92FD9" w:rsidP="00327688">
            <w:pPr>
              <w:spacing w:line="240" w:lineRule="exact"/>
              <w:rPr>
                <w:rFonts w:ascii="Calibri" w:eastAsia="細明體" w:hAnsi="Calibri" w:cs="Calibri"/>
                <w:sz w:val="16"/>
                <w:szCs w:val="16"/>
                <w:highlight w:val="yellow"/>
              </w:rPr>
            </w:pPr>
          </w:p>
        </w:tc>
        <w:tc>
          <w:tcPr>
            <w:tcW w:w="661" w:type="pct"/>
            <w:vAlign w:val="center"/>
          </w:tcPr>
          <w:p w:rsidR="00D92FD9" w:rsidRPr="009F31F8" w:rsidRDefault="00D92FD9" w:rsidP="00327688">
            <w:pPr>
              <w:widowControl/>
              <w:snapToGrid w:val="0"/>
              <w:rPr>
                <w:rFonts w:ascii="Calibri" w:eastAsia="標楷體" w:hAnsi="Calibri" w:cs="Calibri"/>
                <w:sz w:val="16"/>
                <w:szCs w:val="16"/>
              </w:rPr>
            </w:pPr>
          </w:p>
        </w:tc>
      </w:tr>
      <w:tr w:rsidR="00D92FD9" w:rsidRPr="006D6C3D" w:rsidTr="00327688">
        <w:trPr>
          <w:cantSplit/>
          <w:trHeight w:val="57"/>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jc w:val="center"/>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7</w:t>
            </w:r>
          </w:p>
        </w:tc>
        <w:tc>
          <w:tcPr>
            <w:tcW w:w="813" w:type="pct"/>
            <w:vAlign w:val="center"/>
          </w:tcPr>
          <w:p w:rsidR="00D92FD9" w:rsidRPr="009F31F8" w:rsidRDefault="00D92FD9" w:rsidP="00327688">
            <w:pPr>
              <w:widowControl/>
              <w:snapToGrid w:val="0"/>
              <w:rPr>
                <w:rFonts w:ascii="Calibri" w:eastAsia="標楷體" w:hAnsi="Calibri" w:cs="Calibri"/>
                <w:sz w:val="16"/>
                <w:szCs w:val="16"/>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vAlign w:val="center"/>
          </w:tcPr>
          <w:p w:rsidR="00D92FD9" w:rsidRPr="009F31F8" w:rsidRDefault="00D92FD9" w:rsidP="00327688">
            <w:pPr>
              <w:widowControl/>
              <w:snapToGrid w:val="0"/>
              <w:jc w:val="center"/>
              <w:rPr>
                <w:rFonts w:ascii="Calibri" w:eastAsia="標楷體" w:hAnsi="Calibri" w:cs="Calibri"/>
                <w:b/>
                <w:sz w:val="16"/>
                <w:szCs w:val="16"/>
              </w:rPr>
            </w:pPr>
          </w:p>
        </w:tc>
        <w:tc>
          <w:tcPr>
            <w:tcW w:w="1075" w:type="pct"/>
          </w:tcPr>
          <w:p w:rsidR="00D92FD9" w:rsidRPr="009F31F8" w:rsidRDefault="00D92FD9" w:rsidP="00327688">
            <w:pPr>
              <w:widowControl/>
              <w:snapToGrid w:val="0"/>
              <w:rPr>
                <w:rFonts w:ascii="Calibri" w:eastAsia="標楷體" w:hAnsi="Calibri" w:cs="Calibri"/>
                <w:sz w:val="16"/>
                <w:szCs w:val="16"/>
              </w:rPr>
            </w:pPr>
          </w:p>
        </w:tc>
        <w:tc>
          <w:tcPr>
            <w:tcW w:w="1075" w:type="pct"/>
          </w:tcPr>
          <w:p w:rsidR="00D92FD9" w:rsidRPr="006D6C3D" w:rsidRDefault="00D92FD9" w:rsidP="00327688">
            <w:pPr>
              <w:widowControl/>
              <w:spacing w:line="240" w:lineRule="exact"/>
              <w:rPr>
                <w:rFonts w:ascii="Calibri" w:eastAsia="細明體" w:hAnsi="Calibri" w:cs="Calibri"/>
                <w:sz w:val="16"/>
                <w:szCs w:val="16"/>
                <w:highlight w:val="yellow"/>
              </w:rPr>
            </w:pPr>
          </w:p>
        </w:tc>
        <w:tc>
          <w:tcPr>
            <w:tcW w:w="661" w:type="pct"/>
            <w:vAlign w:val="center"/>
          </w:tcPr>
          <w:p w:rsidR="00D92FD9" w:rsidRPr="009F31F8" w:rsidRDefault="00D92FD9" w:rsidP="00327688">
            <w:pPr>
              <w:widowControl/>
              <w:snapToGrid w:val="0"/>
              <w:jc w:val="center"/>
              <w:rPr>
                <w:rFonts w:ascii="Calibri" w:eastAsia="標楷體" w:hAnsi="Calibri" w:cs="Calibri"/>
                <w:sz w:val="16"/>
                <w:szCs w:val="16"/>
              </w:rPr>
            </w:pPr>
          </w:p>
        </w:tc>
      </w:tr>
      <w:tr w:rsidR="00D92FD9" w:rsidRPr="006D6C3D" w:rsidTr="00327688">
        <w:trPr>
          <w:cantSplit/>
          <w:trHeight w:val="1457"/>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val="restart"/>
            <w:textDirection w:val="btLr"/>
            <w:vAlign w:val="center"/>
          </w:tcPr>
          <w:p w:rsidR="00D92FD9" w:rsidRPr="006D6C3D" w:rsidRDefault="00D92FD9" w:rsidP="00327688">
            <w:pPr>
              <w:widowControl/>
              <w:snapToGrid w:val="0"/>
              <w:ind w:left="113" w:right="113"/>
              <w:jc w:val="center"/>
              <w:rPr>
                <w:rFonts w:eastAsia="標楷體"/>
                <w:b/>
                <w:sz w:val="18"/>
                <w:szCs w:val="18"/>
              </w:rPr>
            </w:pPr>
            <w:r w:rsidRPr="006D6C3D">
              <w:rPr>
                <w:rFonts w:eastAsia="標楷體"/>
                <w:b/>
                <w:sz w:val="18"/>
                <w:szCs w:val="18"/>
              </w:rPr>
              <w:t>Building Service Management</w:t>
            </w: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8</w:t>
            </w:r>
          </w:p>
        </w:tc>
        <w:tc>
          <w:tcPr>
            <w:tcW w:w="813" w:type="pct"/>
            <w:vMerge w:val="restart"/>
            <w:vAlign w:val="center"/>
          </w:tcPr>
          <w:p w:rsidR="00D92FD9" w:rsidRPr="006D6C3D" w:rsidRDefault="00D92FD9" w:rsidP="00327688">
            <w:pPr>
              <w:widowControl/>
              <w:spacing w:line="240" w:lineRule="exact"/>
              <w:rPr>
                <w:rFonts w:ascii="Calibri" w:eastAsia="細明體" w:hAnsi="Calibri" w:cs="Calibri"/>
                <w:sz w:val="16"/>
                <w:szCs w:val="16"/>
              </w:rPr>
            </w:pPr>
            <w:r w:rsidRPr="006D6C3D">
              <w:rPr>
                <w:rFonts w:ascii="Calibri" w:eastAsia="細明體" w:hAnsi="Calibri" w:cs="Calibri"/>
                <w:sz w:val="16"/>
                <w:szCs w:val="16"/>
              </w:rPr>
              <w:t>Exploratory factor analysis (EFA)</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 xml:space="preserve">Kano’s approach + </w:t>
            </w:r>
            <w:r w:rsidR="0083318F" w:rsidRPr="00594ABD">
              <w:rPr>
                <w:rFonts w:ascii="Calibri" w:eastAsia="細明體" w:hAnsi="Calibri" w:cs="Calibri"/>
                <w:b/>
                <w:bCs/>
                <w:sz w:val="16"/>
                <w:szCs w:val="16"/>
              </w:rPr>
              <w:t>importance–performance analysis</w:t>
            </w:r>
            <w:r w:rsidR="0083318F" w:rsidRPr="006D6C3D">
              <w:rPr>
                <w:rFonts w:ascii="Calibri" w:eastAsia="細明體" w:hAnsi="Calibri" w:cs="Calibri"/>
                <w:b/>
                <w:bCs/>
                <w:sz w:val="16"/>
                <w:szCs w:val="16"/>
              </w:rPr>
              <w:t xml:space="preserve"> </w:t>
            </w:r>
            <w:r w:rsidRPr="006D6C3D">
              <w:rPr>
                <w:rFonts w:ascii="Calibri" w:eastAsia="細明體" w:hAnsi="Calibri" w:cs="Calibri"/>
                <w:b/>
                <w:bCs/>
                <w:sz w:val="16"/>
                <w:szCs w:val="16"/>
              </w:rPr>
              <w:t>(IPA)</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Explore the relationship between identified SQ attributes and CS in the CM business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To facilitate the decision-making process, the service-quality model evolved from the integration of an improved Kano’s approach and importance–performance analysis (IPA) is utilized to develop a prioritized strategy for satisfaction improvements in the CM business</w:t>
            </w:r>
          </w:p>
        </w:tc>
        <w:tc>
          <w:tcPr>
            <w:tcW w:w="661" w:type="pct"/>
          </w:tcPr>
          <w:p w:rsidR="00D92FD9" w:rsidRPr="009F31F8" w:rsidRDefault="00D92FD9" w:rsidP="00327688">
            <w:pPr>
              <w:widowControl/>
              <w:snapToGrid w:val="0"/>
              <w:rPr>
                <w:rFonts w:ascii="Calibri" w:eastAsia="標楷體" w:hAnsi="Calibri" w:cs="Calibri"/>
                <w:sz w:val="16"/>
                <w:szCs w:val="16"/>
              </w:rPr>
            </w:pPr>
            <w:r>
              <w:rPr>
                <w:rFonts w:ascii="Calibri" w:eastAsia="標楷體" w:hAnsi="Calibri" w:cs="Calibri" w:hint="eastAsia"/>
                <w:sz w:val="16"/>
                <w:szCs w:val="16"/>
              </w:rPr>
              <w:t>S</w:t>
            </w:r>
            <w:r>
              <w:rPr>
                <w:rFonts w:ascii="Calibri" w:eastAsia="標楷體" w:hAnsi="Calibri" w:cs="Calibri"/>
                <w:sz w:val="16"/>
                <w:szCs w:val="16"/>
              </w:rPr>
              <w:t>PSS</w:t>
            </w:r>
          </w:p>
        </w:tc>
      </w:tr>
      <w:tr w:rsidR="00D92FD9" w:rsidRPr="006D6C3D" w:rsidTr="00327688">
        <w:trPr>
          <w:cantSplit/>
          <w:trHeight w:val="1134"/>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jc w:val="center"/>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9</w:t>
            </w:r>
          </w:p>
        </w:tc>
        <w:tc>
          <w:tcPr>
            <w:tcW w:w="813" w:type="pct"/>
            <w:vMerge/>
          </w:tcPr>
          <w:p w:rsidR="00D92FD9" w:rsidRPr="009F31F8" w:rsidRDefault="00D92FD9" w:rsidP="00327688">
            <w:pPr>
              <w:widowControl/>
              <w:snapToGrid w:val="0"/>
              <w:rPr>
                <w:rFonts w:ascii="Calibri" w:eastAsia="標楷體" w:hAnsi="Calibri" w:cs="Calibri"/>
                <w:sz w:val="16"/>
                <w:szCs w:val="16"/>
              </w:rPr>
            </w:pPr>
          </w:p>
        </w:tc>
        <w:tc>
          <w:tcPr>
            <w:tcW w:w="589" w:type="pct"/>
          </w:tcPr>
          <w:p w:rsidR="00D92FD9" w:rsidRPr="006D6C3D" w:rsidRDefault="0083318F" w:rsidP="00327688">
            <w:pPr>
              <w:spacing w:line="240" w:lineRule="exact"/>
              <w:rPr>
                <w:rFonts w:ascii="Calibri" w:eastAsia="細明體" w:hAnsi="Calibri" w:cs="Calibri"/>
                <w:b/>
                <w:bCs/>
                <w:sz w:val="16"/>
                <w:szCs w:val="16"/>
              </w:rPr>
            </w:pPr>
            <w:r>
              <w:rPr>
                <w:rFonts w:ascii="Calibri" w:eastAsia="細明體" w:hAnsi="Calibri" w:cs="Calibri"/>
                <w:b/>
                <w:bCs/>
                <w:sz w:val="16"/>
                <w:szCs w:val="16"/>
              </w:rPr>
              <w:t>E</w:t>
            </w:r>
            <w:r w:rsidRPr="001A4A23">
              <w:rPr>
                <w:rFonts w:ascii="Calibri" w:eastAsia="細明體" w:hAnsi="Calibri" w:cs="Calibri"/>
                <w:b/>
                <w:bCs/>
                <w:sz w:val="16"/>
                <w:szCs w:val="16"/>
              </w:rPr>
              <w:t xml:space="preserve">xploratory factor analysis </w:t>
            </w:r>
            <w:r>
              <w:rPr>
                <w:rFonts w:ascii="Calibri" w:eastAsia="細明體" w:hAnsi="Calibri" w:cs="Calibri"/>
                <w:b/>
                <w:bCs/>
                <w:sz w:val="16"/>
                <w:szCs w:val="16"/>
              </w:rPr>
              <w:t>(</w:t>
            </w:r>
            <w:r w:rsidR="00D92FD9" w:rsidRPr="006D6C3D">
              <w:rPr>
                <w:rFonts w:ascii="Calibri" w:eastAsia="細明體" w:hAnsi="Calibri" w:cs="Calibri"/>
                <w:b/>
                <w:bCs/>
                <w:sz w:val="16"/>
                <w:szCs w:val="16"/>
              </w:rPr>
              <w:t>EFA</w:t>
            </w:r>
            <w:r>
              <w:rPr>
                <w:rFonts w:ascii="Calibri" w:eastAsia="細明體" w:hAnsi="Calibri" w:cs="Calibri"/>
                <w:b/>
                <w:bCs/>
                <w:sz w:val="16"/>
                <w:szCs w:val="16"/>
              </w:rPr>
              <w:t>)</w:t>
            </w:r>
            <w:r w:rsidR="00D92FD9" w:rsidRPr="006D6C3D">
              <w:rPr>
                <w:rFonts w:ascii="Calibri" w:eastAsia="細明體" w:hAnsi="Calibri" w:cs="Calibri"/>
                <w:b/>
                <w:bCs/>
                <w:sz w:val="16"/>
                <w:szCs w:val="16"/>
              </w:rPr>
              <w:t xml:space="preserve"> + </w:t>
            </w:r>
            <w:r w:rsidRPr="001A4A23">
              <w:rPr>
                <w:rFonts w:ascii="Calibri" w:eastAsia="細明體" w:hAnsi="Calibri" w:cs="Calibri"/>
                <w:b/>
                <w:bCs/>
                <w:sz w:val="16"/>
                <w:szCs w:val="16"/>
              </w:rPr>
              <w:t xml:space="preserve">structural equation modeling </w:t>
            </w:r>
            <w:r>
              <w:rPr>
                <w:rFonts w:ascii="Calibri" w:eastAsia="細明體" w:hAnsi="Calibri" w:cs="Calibri"/>
                <w:b/>
                <w:bCs/>
                <w:sz w:val="16"/>
                <w:szCs w:val="16"/>
              </w:rPr>
              <w:t>(</w:t>
            </w:r>
            <w:r w:rsidR="00D92FD9" w:rsidRPr="006D6C3D">
              <w:rPr>
                <w:rFonts w:ascii="Calibri" w:eastAsia="細明體" w:hAnsi="Calibri" w:cs="Calibri"/>
                <w:b/>
                <w:bCs/>
                <w:sz w:val="16"/>
                <w:szCs w:val="16"/>
              </w:rPr>
              <w:t>SEM</w:t>
            </w:r>
            <w:r>
              <w:rPr>
                <w:rFonts w:ascii="Calibri" w:eastAsia="細明體" w:hAnsi="Calibri" w:cs="Calibri"/>
                <w:b/>
                <w:bCs/>
                <w:sz w:val="16"/>
                <w:szCs w:val="16"/>
              </w:rPr>
              <w:t>)</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Explores service quality constructs and associated indicators that are useful for assessing service performance, as well as the relationships between resident satisfaction and service quality in the condominium management service sector</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study concludes that both constructs significantly and positively affect resident satisfaction for condominium service businesses</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SPSS &amp; AMOS</w:t>
            </w:r>
          </w:p>
        </w:tc>
      </w:tr>
      <w:tr w:rsidR="00D92FD9" w:rsidRPr="006D6C3D" w:rsidTr="00327688">
        <w:trPr>
          <w:cantSplit/>
          <w:trHeight w:val="368"/>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10</w:t>
            </w:r>
          </w:p>
        </w:tc>
        <w:tc>
          <w:tcPr>
            <w:tcW w:w="813" w:type="pct"/>
            <w:vAlign w:val="center"/>
          </w:tcPr>
          <w:p w:rsidR="00D92FD9" w:rsidRPr="009F31F8" w:rsidRDefault="00D92FD9" w:rsidP="00327688">
            <w:pPr>
              <w:widowControl/>
              <w:snapToGrid w:val="0"/>
              <w:rPr>
                <w:rFonts w:ascii="Calibri" w:eastAsia="標楷體" w:hAnsi="Calibri" w:cs="Calibri"/>
                <w:sz w:val="16"/>
                <w:szCs w:val="16"/>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vAlign w:val="center"/>
          </w:tcPr>
          <w:p w:rsidR="00D92FD9" w:rsidRPr="006D6C3D" w:rsidRDefault="00D92FD9" w:rsidP="00327688">
            <w:pPr>
              <w:widowControl/>
              <w:spacing w:line="240" w:lineRule="exact"/>
              <w:rPr>
                <w:rFonts w:ascii="Calibri" w:eastAsia="細明體" w:hAnsi="Calibri" w:cs="Calibri"/>
                <w:b/>
                <w:bCs/>
                <w:sz w:val="16"/>
                <w:szCs w:val="16"/>
                <w:lang w:val="id-ID"/>
              </w:rPr>
            </w:pPr>
          </w:p>
        </w:tc>
        <w:tc>
          <w:tcPr>
            <w:tcW w:w="1075" w:type="pct"/>
            <w:vAlign w:val="center"/>
          </w:tcPr>
          <w:p w:rsidR="00D92FD9" w:rsidRPr="006D6C3D" w:rsidRDefault="00D92FD9" w:rsidP="00327688">
            <w:pPr>
              <w:widowControl/>
              <w:spacing w:before="0" w:beforeAutospacing="0" w:after="0" w:afterAutospacing="0" w:line="240" w:lineRule="exact"/>
              <w:rPr>
                <w:rFonts w:ascii="Calibri" w:eastAsia="細明體" w:hAnsi="Calibri" w:cs="Calibri"/>
                <w:sz w:val="16"/>
                <w:szCs w:val="16"/>
                <w:lang w:val="id-ID"/>
              </w:rPr>
            </w:pPr>
          </w:p>
        </w:tc>
        <w:tc>
          <w:tcPr>
            <w:tcW w:w="1075" w:type="pct"/>
            <w:vAlign w:val="center"/>
          </w:tcPr>
          <w:p w:rsidR="00D92FD9" w:rsidRPr="006D6C3D" w:rsidRDefault="00D92FD9" w:rsidP="00327688">
            <w:pPr>
              <w:widowControl/>
              <w:spacing w:line="240" w:lineRule="exact"/>
              <w:rPr>
                <w:rFonts w:ascii="Calibri" w:eastAsia="細明體" w:hAnsi="Calibri" w:cs="Calibri"/>
                <w:sz w:val="16"/>
                <w:szCs w:val="16"/>
              </w:rPr>
            </w:pPr>
          </w:p>
        </w:tc>
        <w:tc>
          <w:tcPr>
            <w:tcW w:w="661" w:type="pct"/>
            <w:vAlign w:val="center"/>
          </w:tcPr>
          <w:p w:rsidR="00D92FD9" w:rsidRPr="006D6C3D" w:rsidRDefault="00D92FD9" w:rsidP="00327688">
            <w:pPr>
              <w:widowControl/>
              <w:spacing w:line="240" w:lineRule="exact"/>
              <w:rPr>
                <w:rFonts w:ascii="Calibri" w:eastAsia="細明體" w:hAnsi="Calibri" w:cs="Calibri"/>
                <w:noProof/>
                <w:sz w:val="16"/>
                <w:szCs w:val="16"/>
                <w:lang w:val="id-ID" w:eastAsia="en-GB"/>
              </w:rPr>
            </w:pPr>
          </w:p>
        </w:tc>
      </w:tr>
      <w:tr w:rsidR="00D92FD9" w:rsidRPr="006D6C3D" w:rsidTr="00327688">
        <w:trPr>
          <w:cantSplit/>
          <w:trHeight w:val="1134"/>
        </w:trPr>
        <w:tc>
          <w:tcPr>
            <w:tcW w:w="486" w:type="pct"/>
            <w:gridSpan w:val="2"/>
            <w:vMerge w:val="restart"/>
            <w:textDirection w:val="btLr"/>
            <w:vAlign w:val="center"/>
          </w:tcPr>
          <w:p w:rsidR="00D92FD9" w:rsidRPr="006D6C3D" w:rsidRDefault="00D92FD9" w:rsidP="00327688">
            <w:pPr>
              <w:widowControl/>
              <w:snapToGrid w:val="0"/>
              <w:ind w:left="113" w:right="113"/>
              <w:jc w:val="center"/>
              <w:rPr>
                <w:rFonts w:eastAsia="標楷體"/>
                <w:b/>
                <w:sz w:val="18"/>
                <w:szCs w:val="18"/>
              </w:rPr>
            </w:pPr>
            <w:r w:rsidRPr="006D6C3D">
              <w:rPr>
                <w:rFonts w:ascii="Verdana" w:hAnsi="Verdana"/>
                <w:b/>
                <w:bCs/>
                <w:i/>
                <w:iCs/>
                <w:color w:val="303030"/>
                <w:sz w:val="18"/>
                <w:szCs w:val="18"/>
                <w:shd w:val="clear" w:color="auto" w:fill="FFFFFF"/>
              </w:rPr>
              <w:t>Project/Behavior/Technology Management</w:t>
            </w: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11</w:t>
            </w:r>
          </w:p>
        </w:tc>
        <w:tc>
          <w:tcPr>
            <w:tcW w:w="813" w:type="pct"/>
            <w:vMerge w:val="restart"/>
            <w:vAlign w:val="center"/>
          </w:tcPr>
          <w:p w:rsidR="00D92FD9" w:rsidRPr="006D6C3D" w:rsidRDefault="00D92FD9" w:rsidP="00327688">
            <w:pPr>
              <w:widowControl/>
              <w:spacing w:line="240" w:lineRule="exact"/>
              <w:rPr>
                <w:rFonts w:ascii="Calibri" w:eastAsia="細明體" w:hAnsi="Calibri" w:cs="Calibri"/>
                <w:sz w:val="16"/>
                <w:szCs w:val="16"/>
              </w:rPr>
            </w:pPr>
            <w:r w:rsidRPr="006D6C3D">
              <w:rPr>
                <w:rFonts w:ascii="Calibri" w:eastAsia="細明體" w:hAnsi="Calibri" w:cs="Calibri"/>
                <w:sz w:val="16"/>
                <w:szCs w:val="16"/>
              </w:rPr>
              <w:t>Structural equation modeling (SEM)</w:t>
            </w:r>
          </w:p>
        </w:tc>
        <w:tc>
          <w:tcPr>
            <w:tcW w:w="589" w:type="pct"/>
            <w:vMerge w:val="restart"/>
            <w:vAlign w:val="center"/>
          </w:tcPr>
          <w:p w:rsidR="00D92FD9" w:rsidRPr="006D6C3D" w:rsidRDefault="00D92FD9" w:rsidP="00327688">
            <w:pPr>
              <w:spacing w:line="240" w:lineRule="exact"/>
              <w:rPr>
                <w:rFonts w:ascii="Calibri" w:eastAsia="細明體" w:hAnsi="Calibri" w:cs="Calibri"/>
                <w:b/>
                <w:bCs/>
                <w:sz w:val="16"/>
                <w:szCs w:val="16"/>
              </w:rPr>
            </w:pPr>
            <w:r w:rsidRPr="006D6C3D">
              <w:rPr>
                <w:rFonts w:ascii="Calibri" w:eastAsia="細明體" w:hAnsi="Calibri" w:cs="Calibri"/>
                <w:b/>
                <w:bCs/>
                <w:sz w:val="16"/>
                <w:szCs w:val="16"/>
              </w:rPr>
              <w:t>SEM</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Determine the effects of PMBOK techniques/tools/skills (TTSs) on project success (PS)</w:t>
            </w:r>
          </w:p>
        </w:tc>
        <w:tc>
          <w:tcPr>
            <w:tcW w:w="1075" w:type="pct"/>
          </w:tcPr>
          <w:p w:rsidR="00D92FD9" w:rsidRPr="006D6C3D" w:rsidRDefault="00D92FD9" w:rsidP="00327688">
            <w:pPr>
              <w:spacing w:line="240" w:lineRule="exact"/>
              <w:rPr>
                <w:rFonts w:ascii="Calibri" w:eastAsia="細明體" w:hAnsi="Calibri" w:cs="Calibri"/>
                <w:sz w:val="16"/>
                <w:szCs w:val="16"/>
              </w:rPr>
            </w:pPr>
            <w:r w:rsidRPr="006D6C3D">
              <w:rPr>
                <w:rFonts w:ascii="Calibri" w:eastAsia="細明體" w:hAnsi="Calibri" w:cs="Calibri"/>
                <w:sz w:val="16"/>
                <w:szCs w:val="16"/>
              </w:rPr>
              <w:t>Empirical data obtained in a cross-country comparison confirm that effective use of PMBOK TTSs substantially increases the probability of PS</w:t>
            </w:r>
          </w:p>
        </w:tc>
        <w:tc>
          <w:tcPr>
            <w:tcW w:w="661" w:type="pct"/>
          </w:tcPr>
          <w:p w:rsidR="00D92FD9" w:rsidRPr="006D6C3D" w:rsidRDefault="00D92FD9" w:rsidP="00327688">
            <w:pPr>
              <w:spacing w:line="240" w:lineRule="exact"/>
              <w:rPr>
                <w:rFonts w:ascii="Calibri" w:eastAsia="細明體" w:hAnsi="Calibri" w:cs="Calibri"/>
                <w:sz w:val="16"/>
                <w:szCs w:val="16"/>
              </w:rPr>
            </w:pPr>
            <w:r w:rsidRPr="006D6C3D">
              <w:rPr>
                <w:rFonts w:ascii="Calibri" w:eastAsia="細明體" w:hAnsi="Calibri" w:cs="Calibri"/>
                <w:sz w:val="16"/>
                <w:szCs w:val="16"/>
              </w:rPr>
              <w:t xml:space="preserve">SPSS </w:t>
            </w:r>
            <w:r w:rsidR="00E607B8">
              <w:rPr>
                <w:rFonts w:ascii="Calibri" w:eastAsia="細明體" w:hAnsi="Calibri" w:cs="Calibri"/>
                <w:sz w:val="16"/>
                <w:szCs w:val="16"/>
              </w:rPr>
              <w:t xml:space="preserve">&amp; </w:t>
            </w:r>
            <w:r w:rsidRPr="006D6C3D">
              <w:rPr>
                <w:rFonts w:ascii="Calibri" w:eastAsia="細明體" w:hAnsi="Calibri" w:cs="Calibri"/>
                <w:sz w:val="16"/>
                <w:szCs w:val="16"/>
              </w:rPr>
              <w:t>AMOS</w:t>
            </w:r>
          </w:p>
        </w:tc>
      </w:tr>
      <w:tr w:rsidR="00D92FD9" w:rsidRPr="006D6C3D" w:rsidTr="00327688">
        <w:trPr>
          <w:cantSplit/>
          <w:trHeight w:val="1134"/>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12</w:t>
            </w:r>
          </w:p>
        </w:tc>
        <w:tc>
          <w:tcPr>
            <w:tcW w:w="813" w:type="pct"/>
            <w:vMerge/>
          </w:tcPr>
          <w:p w:rsidR="00D92FD9" w:rsidRPr="009F31F8" w:rsidRDefault="00D92FD9" w:rsidP="00327688">
            <w:pPr>
              <w:widowControl/>
              <w:snapToGrid w:val="0"/>
              <w:rPr>
                <w:rFonts w:ascii="Calibri" w:eastAsia="標楷體" w:hAnsi="Calibri" w:cs="Calibri"/>
                <w:sz w:val="16"/>
                <w:szCs w:val="16"/>
              </w:rPr>
            </w:pPr>
          </w:p>
        </w:tc>
        <w:tc>
          <w:tcPr>
            <w:tcW w:w="589" w:type="pct"/>
            <w:vMerge/>
          </w:tcPr>
          <w:p w:rsidR="00D92FD9" w:rsidRPr="006D6C3D" w:rsidRDefault="00D92FD9" w:rsidP="00327688">
            <w:pPr>
              <w:spacing w:line="240" w:lineRule="exact"/>
              <w:rPr>
                <w:rFonts w:ascii="Calibri" w:eastAsia="細明體" w:hAnsi="Calibri" w:cs="Calibri"/>
                <w:sz w:val="16"/>
                <w:szCs w:val="16"/>
                <w:lang w:val="id-ID"/>
              </w:rPr>
            </w:pP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Examines the impact of quality determinants from literature in assessing benefits using an information systems success model</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An empirical study of leading manufacturers adopting ERP systems is used to investigate corporate benefits related to information quality, system quality, service quality, system use, and user satisfaction</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AMOS</w:t>
            </w:r>
          </w:p>
        </w:tc>
      </w:tr>
      <w:tr w:rsidR="00D92FD9" w:rsidRPr="006D6C3D" w:rsidTr="00327688">
        <w:trPr>
          <w:cantSplit/>
          <w:trHeight w:val="1134"/>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13</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Technology acceptance model (TAM)</w:t>
            </w:r>
          </w:p>
        </w:tc>
        <w:tc>
          <w:tcPr>
            <w:tcW w:w="589" w:type="pct"/>
          </w:tcPr>
          <w:p w:rsidR="00D92FD9" w:rsidRPr="006D6C3D" w:rsidRDefault="00D92FD9" w:rsidP="00327688">
            <w:pPr>
              <w:widowControl/>
              <w:spacing w:line="240" w:lineRule="exact"/>
              <w:rPr>
                <w:rFonts w:ascii="Calibri" w:eastAsia="細明體" w:hAnsi="Calibri" w:cs="Calibri"/>
                <w:b/>
                <w:sz w:val="16"/>
                <w:szCs w:val="16"/>
              </w:rPr>
            </w:pPr>
            <w:r w:rsidRPr="006D6C3D">
              <w:rPr>
                <w:rFonts w:ascii="Calibri" w:eastAsia="細明體" w:hAnsi="Calibri" w:cs="Calibri"/>
                <w:b/>
                <w:sz w:val="16"/>
                <w:szCs w:val="16"/>
              </w:rPr>
              <w:t>TAM</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Investigate the factors that influence successful implementation of mobile computing devices in the construction industry</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study extends the technology acceptance model (TAM) to an exploration of the determinants of user satisfaction with mobile computing devices and the link between user satisfaction and perceived performance</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AMOS</w:t>
            </w:r>
          </w:p>
        </w:tc>
      </w:tr>
      <w:tr w:rsidR="00D92FD9" w:rsidRPr="006D6C3D" w:rsidTr="00327688">
        <w:trPr>
          <w:cantSplit/>
          <w:trHeight w:val="1787"/>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14</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Structural equation modeling (SEM)</w:t>
            </w:r>
          </w:p>
        </w:tc>
        <w:tc>
          <w:tcPr>
            <w:tcW w:w="589" w:type="pct"/>
          </w:tcPr>
          <w:p w:rsidR="00D92FD9" w:rsidRPr="006D6C3D" w:rsidRDefault="00D92FD9" w:rsidP="00327688">
            <w:pPr>
              <w:spacing w:line="240" w:lineRule="exact"/>
              <w:rPr>
                <w:rFonts w:ascii="Calibri" w:eastAsia="細明體" w:hAnsi="Calibri" w:cs="Calibri"/>
                <w:b/>
                <w:bCs/>
                <w:sz w:val="16"/>
                <w:szCs w:val="16"/>
              </w:rPr>
            </w:pPr>
            <w:r w:rsidRPr="006D6C3D">
              <w:rPr>
                <w:rFonts w:ascii="Calibri" w:eastAsia="細明體" w:hAnsi="Calibri" w:cs="Calibri"/>
                <w:b/>
                <w:bCs/>
                <w:sz w:val="16"/>
                <w:szCs w:val="16"/>
              </w:rPr>
              <w:t>SEM</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Examines the relationships among the PMBOK® Guide, project performance, customer satisfaction, and project success by assessing the efficacy of management techniques, tools, and skills for implementing infrastructure and building construction</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study contributes to the literature by providing insight into interactions among the PMBOK® Guide and construction project outcomes in engineering practices</w:t>
            </w:r>
          </w:p>
        </w:tc>
        <w:tc>
          <w:tcPr>
            <w:tcW w:w="661" w:type="pct"/>
          </w:tcPr>
          <w:p w:rsidR="00D92FD9" w:rsidRPr="006D6C3D" w:rsidRDefault="00FD443C" w:rsidP="00327688">
            <w:pPr>
              <w:widowControl/>
              <w:snapToGrid w:val="0"/>
              <w:rPr>
                <w:rFonts w:ascii="Calibri" w:eastAsia="細明體" w:hAnsi="Calibri" w:cs="Calibri"/>
                <w:sz w:val="16"/>
                <w:szCs w:val="16"/>
              </w:rPr>
            </w:pPr>
            <w:r>
              <w:rPr>
                <w:rFonts w:ascii="Calibri" w:eastAsia="細明體" w:hAnsi="Calibri" w:cs="Calibri"/>
                <w:sz w:val="16"/>
                <w:szCs w:val="16"/>
              </w:rPr>
              <w:t xml:space="preserve">SPSS &amp; </w:t>
            </w:r>
            <w:r w:rsidR="00D92FD9" w:rsidRPr="006D6C3D">
              <w:rPr>
                <w:rFonts w:ascii="Calibri" w:eastAsia="細明體" w:hAnsi="Calibri" w:cs="Calibri"/>
                <w:sz w:val="16"/>
                <w:szCs w:val="16"/>
              </w:rPr>
              <w:t>AMOS</w:t>
            </w:r>
          </w:p>
        </w:tc>
      </w:tr>
      <w:tr w:rsidR="00D92FD9" w:rsidRPr="006D6C3D" w:rsidTr="00327688">
        <w:trPr>
          <w:cantSplit/>
          <w:trHeight w:val="275"/>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15</w:t>
            </w:r>
          </w:p>
        </w:tc>
        <w:tc>
          <w:tcPr>
            <w:tcW w:w="813" w:type="pct"/>
            <w:vAlign w:val="center"/>
          </w:tcPr>
          <w:p w:rsidR="00D92FD9" w:rsidRPr="009F31F8" w:rsidRDefault="00D92FD9" w:rsidP="00327688">
            <w:pPr>
              <w:widowControl/>
              <w:snapToGrid w:val="0"/>
              <w:rPr>
                <w:rFonts w:ascii="Calibri" w:eastAsia="標楷體" w:hAnsi="Calibri" w:cs="Calibri"/>
                <w:sz w:val="16"/>
                <w:szCs w:val="16"/>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vAlign w:val="center"/>
          </w:tcPr>
          <w:p w:rsidR="00D92FD9" w:rsidRPr="006D6C3D" w:rsidRDefault="00D92FD9" w:rsidP="00327688">
            <w:pPr>
              <w:spacing w:line="240" w:lineRule="exact"/>
              <w:rPr>
                <w:rFonts w:ascii="Calibri" w:eastAsia="細明體" w:hAnsi="Calibri" w:cs="Calibri"/>
                <w:b/>
                <w:bCs/>
                <w:sz w:val="16"/>
                <w:szCs w:val="16"/>
                <w:lang w:val="id-ID"/>
              </w:rPr>
            </w:pPr>
          </w:p>
        </w:tc>
        <w:tc>
          <w:tcPr>
            <w:tcW w:w="1075" w:type="pct"/>
            <w:vAlign w:val="center"/>
          </w:tcPr>
          <w:p w:rsidR="00D92FD9" w:rsidRPr="006D6C3D" w:rsidRDefault="00D92FD9" w:rsidP="00327688">
            <w:pPr>
              <w:spacing w:before="0" w:beforeAutospacing="0" w:after="0" w:afterAutospacing="0" w:line="240" w:lineRule="exact"/>
              <w:rPr>
                <w:rFonts w:ascii="Calibri" w:eastAsia="細明體" w:hAnsi="Calibri" w:cs="Calibri"/>
                <w:sz w:val="16"/>
                <w:szCs w:val="16"/>
                <w:lang w:val="id-ID"/>
              </w:rPr>
            </w:pPr>
          </w:p>
        </w:tc>
        <w:tc>
          <w:tcPr>
            <w:tcW w:w="1075" w:type="pct"/>
            <w:vAlign w:val="center"/>
          </w:tcPr>
          <w:p w:rsidR="00D92FD9" w:rsidRPr="006D6C3D" w:rsidRDefault="00D92FD9" w:rsidP="00327688">
            <w:pPr>
              <w:spacing w:line="240" w:lineRule="exact"/>
              <w:rPr>
                <w:rFonts w:ascii="Calibri" w:eastAsia="細明體" w:hAnsi="Calibri" w:cs="Calibri"/>
                <w:sz w:val="16"/>
                <w:szCs w:val="16"/>
                <w:lang w:val="id-ID"/>
              </w:rPr>
            </w:pPr>
          </w:p>
        </w:tc>
        <w:tc>
          <w:tcPr>
            <w:tcW w:w="661" w:type="pct"/>
            <w:vAlign w:val="center"/>
          </w:tcPr>
          <w:p w:rsidR="00D92FD9" w:rsidRPr="006D6C3D" w:rsidRDefault="00D92FD9" w:rsidP="00327688">
            <w:pPr>
              <w:spacing w:line="240" w:lineRule="exact"/>
              <w:rPr>
                <w:rFonts w:ascii="Calibri" w:eastAsia="細明體" w:hAnsi="Calibri" w:cs="Calibri"/>
                <w:sz w:val="16"/>
                <w:szCs w:val="16"/>
                <w:lang w:val="id-ID"/>
              </w:rPr>
            </w:pPr>
          </w:p>
        </w:tc>
      </w:tr>
      <w:tr w:rsidR="00D92FD9" w:rsidRPr="006D6C3D" w:rsidTr="00327688">
        <w:trPr>
          <w:cantSplit/>
          <w:trHeight w:val="1134"/>
        </w:trPr>
        <w:tc>
          <w:tcPr>
            <w:tcW w:w="486" w:type="pct"/>
            <w:gridSpan w:val="2"/>
            <w:vMerge w:val="restart"/>
            <w:textDirection w:val="btLr"/>
            <w:vAlign w:val="center"/>
          </w:tcPr>
          <w:p w:rsidR="00D92FD9" w:rsidRPr="006D6C3D" w:rsidRDefault="00D92FD9" w:rsidP="00327688">
            <w:pPr>
              <w:widowControl/>
              <w:snapToGrid w:val="0"/>
              <w:ind w:left="113" w:right="113"/>
              <w:rPr>
                <w:rFonts w:eastAsia="標楷體"/>
                <w:b/>
                <w:sz w:val="18"/>
                <w:szCs w:val="18"/>
              </w:rPr>
            </w:pPr>
            <w:r w:rsidRPr="006D6C3D">
              <w:rPr>
                <w:rFonts w:ascii="Verdana" w:hAnsi="Verdana"/>
                <w:b/>
                <w:bCs/>
                <w:i/>
                <w:iCs/>
                <w:color w:val="303030"/>
                <w:sz w:val="18"/>
                <w:szCs w:val="18"/>
                <w:shd w:val="clear" w:color="auto" w:fill="FFFFFF"/>
              </w:rPr>
              <w:t>PPP, Public Policy, Performance Evaluation</w:t>
            </w: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16</w:t>
            </w:r>
          </w:p>
        </w:tc>
        <w:tc>
          <w:tcPr>
            <w:tcW w:w="813" w:type="pct"/>
          </w:tcPr>
          <w:p w:rsidR="00D92FD9" w:rsidRPr="009F31F8" w:rsidRDefault="0083318F" w:rsidP="00327688">
            <w:pPr>
              <w:widowControl/>
              <w:snapToGrid w:val="0"/>
              <w:rPr>
                <w:rFonts w:ascii="Calibri" w:eastAsia="標楷體" w:hAnsi="Calibri" w:cs="Calibri"/>
                <w:sz w:val="16"/>
                <w:szCs w:val="16"/>
              </w:rPr>
            </w:pPr>
            <w:r w:rsidRPr="00FE131A">
              <w:rPr>
                <w:rFonts w:ascii="Calibri" w:eastAsia="細明體" w:hAnsi="Calibri" w:cs="Calibri"/>
                <w:sz w:val="16"/>
                <w:szCs w:val="16"/>
              </w:rPr>
              <w:t>Descriptive statistics &amp;</w:t>
            </w:r>
            <w:r>
              <w:t xml:space="preserve"> </w:t>
            </w:r>
            <w:r w:rsidR="00D92FD9" w:rsidRPr="006D6C3D">
              <w:rPr>
                <w:rFonts w:ascii="Calibri" w:eastAsia="細明體" w:hAnsi="Calibri" w:cs="Calibri"/>
                <w:sz w:val="16"/>
                <w:szCs w:val="16"/>
              </w:rPr>
              <w:t>Exploratory factor analysis (EFA)</w:t>
            </w:r>
          </w:p>
        </w:tc>
        <w:tc>
          <w:tcPr>
            <w:tcW w:w="589" w:type="pct"/>
          </w:tcPr>
          <w:p w:rsidR="00D92FD9" w:rsidRPr="006D6C3D" w:rsidRDefault="0083318F" w:rsidP="00327688">
            <w:pPr>
              <w:widowControl/>
              <w:snapToGrid w:val="0"/>
              <w:rPr>
                <w:rFonts w:ascii="Calibri" w:eastAsia="細明體" w:hAnsi="Calibri" w:cs="Calibri"/>
                <w:b/>
                <w:bCs/>
                <w:sz w:val="16"/>
                <w:szCs w:val="16"/>
              </w:rPr>
            </w:pPr>
            <w:r w:rsidRPr="00FE131A">
              <w:rPr>
                <w:rFonts w:ascii="Calibri" w:eastAsia="細明體" w:hAnsi="Calibri" w:cs="Calibri"/>
                <w:sz w:val="16"/>
                <w:szCs w:val="16"/>
              </w:rPr>
              <w:t xml:space="preserve">Descriptive statistics </w:t>
            </w:r>
            <w:r>
              <w:rPr>
                <w:rFonts w:ascii="Calibri" w:eastAsia="細明體" w:hAnsi="Calibri" w:cs="Calibri"/>
                <w:sz w:val="16"/>
                <w:szCs w:val="16"/>
              </w:rPr>
              <w:t xml:space="preserve">+ </w:t>
            </w:r>
            <w:r w:rsidR="00D92FD9" w:rsidRPr="006D6C3D">
              <w:rPr>
                <w:rFonts w:ascii="Calibri" w:eastAsia="細明體" w:hAnsi="Calibri" w:cs="Calibri"/>
                <w:b/>
                <w:bCs/>
                <w:sz w:val="16"/>
                <w:szCs w:val="16"/>
              </w:rPr>
              <w:t>EFA + 2D quadrant analysis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Identify the important aspects of the evaluation process and factors that should be considered in the ex post evaluation of PPP projects in Indonesia infrastructure</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descriptive statistics in the ex post evaluation showed that the three most important aspects of the evaluation process were “review and acceptance of evaluation by appropriate parties,” “documentation of information used in preparing the evaluation,” and “purpose and intended use of evaluation” (mean values 418, 411, and 397, respectively)</w:t>
            </w:r>
          </w:p>
        </w:tc>
        <w:tc>
          <w:tcPr>
            <w:tcW w:w="661" w:type="pct"/>
          </w:tcPr>
          <w:p w:rsidR="00D92FD9" w:rsidRPr="006D6C3D" w:rsidRDefault="00D92FD9" w:rsidP="00327688">
            <w:pPr>
              <w:widowControl/>
              <w:spacing w:line="240" w:lineRule="exact"/>
              <w:rPr>
                <w:rFonts w:ascii="Calibri" w:eastAsia="細明體" w:hAnsi="Calibri" w:cs="Calibri"/>
                <w:noProof/>
                <w:sz w:val="16"/>
                <w:szCs w:val="16"/>
                <w:lang w:val="id-ID" w:eastAsia="en-GB"/>
              </w:rPr>
            </w:pPr>
            <w:r>
              <w:rPr>
                <w:rFonts w:ascii="Calibri" w:eastAsia="細明體" w:hAnsi="Calibri" w:cs="Calibri" w:hint="eastAsia"/>
                <w:noProof/>
                <w:sz w:val="16"/>
                <w:szCs w:val="16"/>
                <w:lang w:val="id-ID" w:eastAsia="en-GB"/>
              </w:rPr>
              <w:t>SPSS</w:t>
            </w:r>
          </w:p>
        </w:tc>
      </w:tr>
      <w:tr w:rsidR="00D92FD9" w:rsidRPr="006D6C3D" w:rsidTr="00327688">
        <w:trPr>
          <w:cantSplit/>
          <w:trHeight w:val="1134"/>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17</w:t>
            </w:r>
          </w:p>
        </w:tc>
        <w:tc>
          <w:tcPr>
            <w:tcW w:w="813" w:type="pct"/>
          </w:tcPr>
          <w:p w:rsidR="00D92FD9" w:rsidRPr="009F31F8" w:rsidRDefault="00D92FD9" w:rsidP="00327688">
            <w:pPr>
              <w:widowControl/>
              <w:snapToGrid w:val="0"/>
              <w:rPr>
                <w:rFonts w:ascii="Calibri" w:eastAsia="標楷體" w:hAnsi="Calibri" w:cs="Calibri"/>
                <w:sz w:val="16"/>
                <w:szCs w:val="16"/>
              </w:rPr>
            </w:pPr>
            <w:r w:rsidRPr="006D6C3D">
              <w:rPr>
                <w:rFonts w:ascii="Calibri" w:eastAsia="細明體" w:hAnsi="Calibri" w:cs="Calibri"/>
                <w:sz w:val="16"/>
                <w:szCs w:val="16"/>
              </w:rPr>
              <w:t>Confirmatory factor analysis</w:t>
            </w:r>
            <w:r w:rsidR="0083318F">
              <w:rPr>
                <w:rFonts w:ascii="Calibri" w:eastAsia="細明體" w:hAnsi="Calibri" w:cs="Calibri"/>
                <w:sz w:val="16"/>
                <w:szCs w:val="16"/>
              </w:rPr>
              <w:t xml:space="preserve"> (CFA)</w:t>
            </w:r>
            <w:r w:rsidRPr="006D6C3D">
              <w:rPr>
                <w:rFonts w:ascii="Calibri" w:eastAsia="細明體" w:hAnsi="Calibri" w:cs="Calibri"/>
                <w:sz w:val="16"/>
                <w:szCs w:val="16"/>
              </w:rPr>
              <w:t xml:space="preserve"> and mean value analysis</w:t>
            </w:r>
            <w:r w:rsidR="0083318F">
              <w:rPr>
                <w:rFonts w:ascii="Calibri" w:eastAsia="細明體" w:hAnsi="Calibri" w:cs="Calibri"/>
                <w:sz w:val="16"/>
                <w:szCs w:val="16"/>
              </w:rPr>
              <w:t xml:space="preserve"> (MVA)</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CFA + MVA</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Compare the categories of key drivers, critical success factors (CSFs), and preferred risk allocation in PPPs established in Taiwan, Singapore, China, the United Kingdom, and Indonesia</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study provides useful information for people seeking to invest in PPP projects, enabling them to enhance their understanding of key drivers, CSFs, and risk allocation in the researched countries</w:t>
            </w:r>
          </w:p>
        </w:tc>
        <w:tc>
          <w:tcPr>
            <w:tcW w:w="661" w:type="pct"/>
          </w:tcPr>
          <w:p w:rsidR="00D92FD9" w:rsidRPr="006D6C3D" w:rsidRDefault="00D92FD9" w:rsidP="00327688">
            <w:pPr>
              <w:widowControl/>
              <w:spacing w:line="240" w:lineRule="exact"/>
              <w:rPr>
                <w:rFonts w:ascii="Calibri" w:eastAsia="細明體" w:hAnsi="Calibri" w:cs="Calibri"/>
                <w:noProof/>
                <w:sz w:val="16"/>
                <w:szCs w:val="16"/>
                <w:lang w:val="id-ID" w:eastAsia="en-GB"/>
              </w:rPr>
            </w:pPr>
            <w:r>
              <w:rPr>
                <w:rFonts w:ascii="Calibri" w:eastAsia="細明體" w:hAnsi="Calibri" w:cs="Calibri" w:hint="eastAsia"/>
                <w:noProof/>
                <w:sz w:val="16"/>
                <w:szCs w:val="16"/>
                <w:lang w:val="id-ID" w:eastAsia="en-GB"/>
              </w:rPr>
              <w:t xml:space="preserve">SPSS </w:t>
            </w:r>
            <w:r w:rsidR="0069485B">
              <w:rPr>
                <w:rFonts w:ascii="Calibri" w:eastAsia="細明體" w:hAnsi="Calibri" w:cs="Calibri"/>
                <w:noProof/>
                <w:sz w:val="16"/>
                <w:szCs w:val="16"/>
                <w:lang w:eastAsia="en-GB"/>
              </w:rPr>
              <w:t xml:space="preserve">&amp; </w:t>
            </w:r>
            <w:r>
              <w:rPr>
                <w:rFonts w:ascii="Calibri" w:eastAsia="細明體" w:hAnsi="Calibri" w:cs="Calibri" w:hint="eastAsia"/>
                <w:noProof/>
                <w:sz w:val="16"/>
                <w:szCs w:val="16"/>
                <w:lang w:val="id-ID" w:eastAsia="en-GB"/>
              </w:rPr>
              <w:t>AMOS</w:t>
            </w:r>
          </w:p>
        </w:tc>
      </w:tr>
      <w:tr w:rsidR="00D92FD9" w:rsidRPr="006D6C3D" w:rsidTr="00327688">
        <w:trPr>
          <w:cantSplit/>
          <w:trHeight w:val="1134"/>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18</w:t>
            </w:r>
          </w:p>
        </w:tc>
        <w:tc>
          <w:tcPr>
            <w:tcW w:w="813" w:type="pct"/>
          </w:tcPr>
          <w:p w:rsidR="00D92FD9" w:rsidRPr="006D6C3D" w:rsidRDefault="00CE1DCD" w:rsidP="00327688">
            <w:pPr>
              <w:widowControl/>
              <w:snapToGrid w:val="0"/>
              <w:rPr>
                <w:rFonts w:ascii="Calibri" w:eastAsia="細明體" w:hAnsi="Calibri" w:cs="Calibri"/>
                <w:sz w:val="16"/>
                <w:szCs w:val="16"/>
              </w:rPr>
            </w:pPr>
            <w:r>
              <w:rPr>
                <w:rFonts w:ascii="Calibri" w:eastAsia="細明體" w:hAnsi="Calibri" w:cs="Calibri"/>
                <w:sz w:val="16"/>
                <w:szCs w:val="16"/>
              </w:rPr>
              <w:t xml:space="preserve"> P</w:t>
            </w:r>
            <w:r w:rsidRPr="00470E2B">
              <w:rPr>
                <w:rFonts w:ascii="Calibri" w:eastAsia="細明體" w:hAnsi="Calibri" w:cs="Calibri"/>
                <w:sz w:val="16"/>
                <w:szCs w:val="16"/>
              </w:rPr>
              <w:t>roposes specific tools and measures to facilitate stakeholder management</w:t>
            </w:r>
          </w:p>
        </w:tc>
        <w:tc>
          <w:tcPr>
            <w:tcW w:w="589" w:type="pct"/>
          </w:tcPr>
          <w:p w:rsidR="00D92FD9" w:rsidRPr="006D6C3D" w:rsidRDefault="00CE1DCD" w:rsidP="00327688">
            <w:pPr>
              <w:widowControl/>
              <w:snapToGrid w:val="0"/>
              <w:rPr>
                <w:rFonts w:ascii="Calibri" w:eastAsia="細明體" w:hAnsi="Calibri" w:cs="Calibri"/>
                <w:b/>
                <w:sz w:val="16"/>
                <w:szCs w:val="16"/>
              </w:rPr>
            </w:pPr>
            <w:r w:rsidRPr="006D6C3D">
              <w:rPr>
                <w:rFonts w:ascii="Calibri" w:eastAsia="細明體" w:hAnsi="Calibri" w:cs="Calibri"/>
                <w:sz w:val="16"/>
                <w:szCs w:val="16"/>
              </w:rPr>
              <w:t>Public–private partnerships (PPPs)</w:t>
            </w:r>
            <w:r>
              <w:rPr>
                <w:rFonts w:ascii="Calibri" w:eastAsia="細明體" w:hAnsi="Calibri" w:cs="Calibri"/>
                <w:sz w:val="16"/>
                <w:szCs w:val="16"/>
              </w:rPr>
              <w:t xml:space="preserve"> and </w:t>
            </w:r>
            <w:r w:rsidRPr="00470E2B">
              <w:rPr>
                <w:rFonts w:ascii="Calibri" w:eastAsia="細明體" w:hAnsi="Calibri" w:cs="Calibri"/>
                <w:sz w:val="16"/>
                <w:szCs w:val="16"/>
              </w:rPr>
              <w:t>practices for PPP</w:t>
            </w:r>
            <w:r w:rsidRPr="006D6C3D">
              <w:rPr>
                <w:rFonts w:ascii="Calibri" w:eastAsia="細明體" w:hAnsi="Calibri" w:cs="Calibri"/>
                <w:sz w:val="16"/>
                <w:szCs w:val="16"/>
              </w:rPr>
              <w:t xml:space="preserve"> institutional frameworks (IFs)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Investigate the major role public–private partnerships (PPPs) played in stimulus plans and the challenges faced when promoting PPPs in response to the 2008 GFC</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findings of this study can be used by governments that intend to enhance IFs and systematically attract private investment in infrastructure projects; economic downsizing and other adverse consequences of GFCs can thus be avoided</w:t>
            </w:r>
          </w:p>
        </w:tc>
        <w:tc>
          <w:tcPr>
            <w:tcW w:w="661" w:type="pct"/>
          </w:tcPr>
          <w:p w:rsidR="00D92FD9" w:rsidRPr="006D6C3D" w:rsidRDefault="00D92FD9" w:rsidP="00327688">
            <w:pPr>
              <w:widowControl/>
              <w:spacing w:line="240" w:lineRule="exact"/>
              <w:rPr>
                <w:rFonts w:ascii="Calibri" w:eastAsia="細明體" w:hAnsi="Calibri" w:cs="Calibri"/>
                <w:noProof/>
                <w:sz w:val="16"/>
                <w:szCs w:val="16"/>
                <w:lang w:val="id-ID" w:eastAsia="en-GB"/>
              </w:rPr>
            </w:pPr>
          </w:p>
        </w:tc>
      </w:tr>
      <w:tr w:rsidR="00D92FD9" w:rsidRPr="006D6C3D" w:rsidTr="00327688">
        <w:trPr>
          <w:cantSplit/>
          <w:trHeight w:val="1134"/>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19</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Governmental debt guarantee (GDG)</w:t>
            </w:r>
            <w:r w:rsidR="00CE1DCD">
              <w:rPr>
                <w:rFonts w:ascii="Calibri" w:eastAsia="細明體" w:hAnsi="Calibri" w:cs="Calibri"/>
                <w:sz w:val="16"/>
                <w:szCs w:val="16"/>
              </w:rPr>
              <w:t xml:space="preserve"> on the basis of </w:t>
            </w:r>
            <w:r w:rsidRPr="006D6C3D">
              <w:rPr>
                <w:rFonts w:ascii="Calibri" w:eastAsia="細明體" w:hAnsi="Calibri" w:cs="Calibri"/>
                <w:sz w:val="16"/>
                <w:szCs w:val="16"/>
              </w:rPr>
              <w:t>game</w:t>
            </w:r>
            <w:r w:rsidR="00CE1DCD">
              <w:rPr>
                <w:rFonts w:ascii="Calibri" w:eastAsia="細明體" w:hAnsi="Calibri" w:cs="Calibri"/>
                <w:sz w:val="16"/>
                <w:szCs w:val="16"/>
              </w:rPr>
              <w:t xml:space="preserve"> theory</w:t>
            </w:r>
          </w:p>
        </w:tc>
        <w:tc>
          <w:tcPr>
            <w:tcW w:w="589" w:type="pct"/>
          </w:tcPr>
          <w:p w:rsidR="00D92FD9" w:rsidRPr="006D6C3D" w:rsidRDefault="00FF1414" w:rsidP="00F229FD">
            <w:pPr>
              <w:widowControl/>
              <w:snapToGrid w:val="0"/>
              <w:rPr>
                <w:rFonts w:ascii="Calibri" w:eastAsia="細明體" w:hAnsi="Calibri" w:cs="Calibri"/>
                <w:b/>
                <w:sz w:val="16"/>
                <w:szCs w:val="16"/>
              </w:rPr>
            </w:pPr>
            <w:r>
              <w:rPr>
                <w:rFonts w:ascii="Calibri" w:eastAsia="細明體" w:hAnsi="Calibri" w:cs="Calibri"/>
                <w:b/>
                <w:sz w:val="16"/>
                <w:szCs w:val="16"/>
              </w:rPr>
              <w:t xml:space="preserve">Transportation </w:t>
            </w:r>
            <w:r w:rsidR="00F229FD">
              <w:rPr>
                <w:rFonts w:ascii="Calibri" w:eastAsia="細明體" w:hAnsi="Calibri" w:cs="Calibri"/>
                <w:b/>
                <w:sz w:val="16"/>
                <w:szCs w:val="16"/>
              </w:rPr>
              <w:t>c</w:t>
            </w:r>
            <w:r>
              <w:rPr>
                <w:rFonts w:ascii="Calibri" w:eastAsia="細明體" w:hAnsi="Calibri" w:cs="Calibri"/>
                <w:b/>
                <w:sz w:val="16"/>
                <w:szCs w:val="16"/>
              </w:rPr>
              <w:t xml:space="preserve">ost </w:t>
            </w:r>
            <w:r w:rsidR="00F229FD">
              <w:rPr>
                <w:rFonts w:ascii="Calibri" w:eastAsia="細明體" w:hAnsi="Calibri" w:cs="Calibri"/>
                <w:b/>
                <w:sz w:val="16"/>
                <w:szCs w:val="16"/>
              </w:rPr>
              <w:t>Economics</w:t>
            </w:r>
            <w:r>
              <w:rPr>
                <w:rFonts w:ascii="Calibri" w:eastAsia="細明體" w:hAnsi="Calibri" w:cs="Calibri"/>
                <w:b/>
                <w:sz w:val="16"/>
                <w:szCs w:val="16"/>
              </w:rPr>
              <w:t xml:space="preserve"> (</w:t>
            </w:r>
            <w:r w:rsidR="00D92FD9" w:rsidRPr="006D6C3D">
              <w:rPr>
                <w:rFonts w:ascii="Calibri" w:eastAsia="細明體" w:hAnsi="Calibri" w:cs="Calibri"/>
                <w:b/>
                <w:sz w:val="16"/>
                <w:szCs w:val="16"/>
              </w:rPr>
              <w:t>TCE</w:t>
            </w:r>
            <w:r>
              <w:rPr>
                <w:rFonts w:ascii="Calibri" w:eastAsia="細明體" w:hAnsi="Calibri" w:cs="Calibri"/>
                <w:b/>
                <w:sz w:val="16"/>
                <w:szCs w:val="16"/>
              </w:rPr>
              <w:t>)</w:t>
            </w:r>
            <w:r w:rsidR="00D92FD9" w:rsidRPr="006D6C3D">
              <w:rPr>
                <w:rFonts w:ascii="Calibri" w:eastAsia="細明體" w:hAnsi="Calibri" w:cs="Calibri"/>
                <w:b/>
                <w:sz w:val="16"/>
                <w:szCs w:val="16"/>
              </w:rPr>
              <w:t xml:space="preserve"> + game theory</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Examine the effects of a structured GDG mechanism with particular complementary measures applied in joint projects to develop the Taipei Mass Rapid Transit (MRT) stations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Proactive Measures of Governmental Debt Guarantees to Facilitate Public-Private Partnerships Project</w:t>
            </w:r>
          </w:p>
        </w:tc>
        <w:tc>
          <w:tcPr>
            <w:tcW w:w="661" w:type="pct"/>
          </w:tcPr>
          <w:p w:rsidR="00D92FD9" w:rsidRPr="006D6C3D" w:rsidRDefault="00D92FD9" w:rsidP="00327688">
            <w:pPr>
              <w:widowControl/>
              <w:snapToGrid w:val="0"/>
              <w:rPr>
                <w:rFonts w:ascii="Calibri" w:eastAsia="細明體" w:hAnsi="Calibri" w:cs="Calibri"/>
                <w:sz w:val="16"/>
                <w:szCs w:val="16"/>
              </w:rPr>
            </w:pPr>
          </w:p>
        </w:tc>
      </w:tr>
      <w:tr w:rsidR="00D92FD9" w:rsidRPr="006D6C3D" w:rsidTr="00327688">
        <w:trPr>
          <w:cantSplit/>
          <w:trHeight w:val="1134"/>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20</w:t>
            </w:r>
          </w:p>
        </w:tc>
        <w:tc>
          <w:tcPr>
            <w:tcW w:w="813" w:type="pct"/>
          </w:tcPr>
          <w:p w:rsidR="00D92FD9" w:rsidRPr="009F31F8" w:rsidRDefault="00731F77" w:rsidP="00327688">
            <w:pPr>
              <w:widowControl/>
              <w:snapToGrid w:val="0"/>
              <w:rPr>
                <w:rFonts w:ascii="Calibri" w:eastAsia="標楷體" w:hAnsi="Calibri" w:cs="Calibri"/>
                <w:sz w:val="16"/>
                <w:szCs w:val="16"/>
              </w:rPr>
            </w:pPr>
            <w:r>
              <w:rPr>
                <w:rFonts w:ascii="Calibri" w:eastAsia="細明體" w:hAnsi="Calibri" w:cs="Calibri"/>
                <w:sz w:val="16"/>
                <w:szCs w:val="16"/>
              </w:rPr>
              <w:t xml:space="preserve"> </w:t>
            </w:r>
            <w:r w:rsidRPr="005F6FFB">
              <w:rPr>
                <w:rFonts w:ascii="Calibri" w:eastAsia="細明體" w:hAnsi="Calibri" w:cs="Calibri"/>
                <w:sz w:val="16"/>
                <w:szCs w:val="16"/>
              </w:rPr>
              <w:t>Design a structural questionnaire for professionals in Taiwan and to elicit their PPP project experience</w:t>
            </w:r>
          </w:p>
        </w:tc>
        <w:tc>
          <w:tcPr>
            <w:tcW w:w="589" w:type="pct"/>
          </w:tcPr>
          <w:p w:rsidR="00D92FD9" w:rsidRPr="006D6C3D" w:rsidRDefault="00731F77" w:rsidP="00327688">
            <w:pPr>
              <w:widowControl/>
              <w:snapToGrid w:val="0"/>
              <w:rPr>
                <w:rFonts w:ascii="Calibri" w:eastAsia="細明體" w:hAnsi="Calibri" w:cs="Calibri"/>
                <w:sz w:val="16"/>
                <w:szCs w:val="16"/>
              </w:rPr>
            </w:pPr>
            <w:r w:rsidRPr="005F6FFB">
              <w:rPr>
                <w:rFonts w:ascii="Calibri" w:eastAsia="細明體" w:hAnsi="Calibri" w:cs="Calibri"/>
                <w:b/>
                <w:sz w:val="16"/>
                <w:szCs w:val="16"/>
              </w:rPr>
              <w:t>Mean value analysis (MVA) and confirmatory factor analysis (CFA)</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Compared the use of public–private partnership (PPP) policy between high speed rail (HSR) projects and general infrastructure projects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study provides a valuable reference for stakeholders interested in executing HSR via PPP</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AMOS</w:t>
            </w:r>
          </w:p>
        </w:tc>
      </w:tr>
      <w:tr w:rsidR="00D92FD9" w:rsidRPr="006D6C3D" w:rsidTr="00327688">
        <w:trPr>
          <w:cantSplit/>
          <w:trHeight w:val="150"/>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21</w:t>
            </w:r>
          </w:p>
        </w:tc>
        <w:tc>
          <w:tcPr>
            <w:tcW w:w="813" w:type="pct"/>
            <w:vAlign w:val="center"/>
          </w:tcPr>
          <w:p w:rsidR="00D92FD9" w:rsidRPr="009F31F8" w:rsidRDefault="00D92FD9" w:rsidP="00327688">
            <w:pPr>
              <w:widowControl/>
              <w:snapToGrid w:val="0"/>
              <w:rPr>
                <w:rFonts w:ascii="Calibri" w:eastAsia="標楷體" w:hAnsi="Calibri" w:cs="Calibri"/>
                <w:sz w:val="16"/>
                <w:szCs w:val="16"/>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vAlign w:val="center"/>
          </w:tcPr>
          <w:p w:rsidR="00D92FD9" w:rsidRPr="006D6C3D" w:rsidRDefault="00D92FD9" w:rsidP="00327688">
            <w:pPr>
              <w:widowControl/>
              <w:spacing w:line="240" w:lineRule="exact"/>
              <w:rPr>
                <w:rFonts w:ascii="Calibri" w:eastAsia="細明體" w:hAnsi="Calibri" w:cs="Calibri"/>
                <w:b/>
                <w:bCs/>
                <w:sz w:val="16"/>
                <w:szCs w:val="16"/>
                <w:highlight w:val="yellow"/>
              </w:rPr>
            </w:pPr>
          </w:p>
        </w:tc>
        <w:tc>
          <w:tcPr>
            <w:tcW w:w="1075" w:type="pct"/>
            <w:vAlign w:val="center"/>
          </w:tcPr>
          <w:p w:rsidR="00D92FD9" w:rsidRPr="006D6C3D" w:rsidRDefault="00D92FD9" w:rsidP="00327688">
            <w:pPr>
              <w:widowControl/>
              <w:snapToGrid w:val="0"/>
              <w:rPr>
                <w:rFonts w:ascii="Calibri" w:eastAsia="細明體" w:hAnsi="Calibri" w:cs="Calibri"/>
                <w:sz w:val="16"/>
                <w:szCs w:val="16"/>
              </w:rPr>
            </w:pPr>
          </w:p>
        </w:tc>
        <w:tc>
          <w:tcPr>
            <w:tcW w:w="1075" w:type="pct"/>
            <w:vAlign w:val="center"/>
          </w:tcPr>
          <w:p w:rsidR="00D92FD9" w:rsidRPr="00B6334E" w:rsidRDefault="00D92FD9" w:rsidP="00327688">
            <w:pPr>
              <w:widowControl/>
              <w:snapToGrid w:val="0"/>
              <w:rPr>
                <w:rFonts w:ascii="Calibri" w:eastAsia="細明體" w:hAnsi="Calibri" w:cs="Calibri"/>
                <w:sz w:val="16"/>
                <w:szCs w:val="16"/>
              </w:rPr>
            </w:pPr>
          </w:p>
        </w:tc>
        <w:tc>
          <w:tcPr>
            <w:tcW w:w="661" w:type="pct"/>
            <w:vAlign w:val="center"/>
          </w:tcPr>
          <w:p w:rsidR="00D92FD9" w:rsidRPr="00B6334E" w:rsidRDefault="00D92FD9" w:rsidP="00327688">
            <w:pPr>
              <w:widowControl/>
              <w:snapToGrid w:val="0"/>
              <w:rPr>
                <w:rFonts w:ascii="Calibri" w:eastAsia="細明體" w:hAnsi="Calibri" w:cs="Calibri"/>
                <w:sz w:val="16"/>
                <w:szCs w:val="16"/>
              </w:rPr>
            </w:pPr>
          </w:p>
        </w:tc>
      </w:tr>
      <w:tr w:rsidR="00D92FD9" w:rsidRPr="006D6C3D" w:rsidTr="00327688">
        <w:trPr>
          <w:cantSplit/>
          <w:trHeight w:val="37"/>
        </w:trPr>
        <w:tc>
          <w:tcPr>
            <w:tcW w:w="486" w:type="pct"/>
            <w:gridSpan w:val="2"/>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22</w:t>
            </w:r>
          </w:p>
        </w:tc>
        <w:tc>
          <w:tcPr>
            <w:tcW w:w="813" w:type="pct"/>
            <w:vAlign w:val="center"/>
          </w:tcPr>
          <w:p w:rsidR="00D92FD9" w:rsidRPr="009F31F8" w:rsidRDefault="00D92FD9" w:rsidP="00327688">
            <w:pPr>
              <w:widowControl/>
              <w:snapToGrid w:val="0"/>
              <w:rPr>
                <w:rFonts w:ascii="Calibri" w:eastAsia="標楷體" w:hAnsi="Calibri" w:cs="Calibri"/>
                <w:sz w:val="16"/>
                <w:szCs w:val="16"/>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vAlign w:val="center"/>
          </w:tcPr>
          <w:p w:rsidR="00D92FD9" w:rsidRPr="006D6C3D" w:rsidRDefault="00D92FD9" w:rsidP="00327688">
            <w:pPr>
              <w:widowControl/>
              <w:spacing w:line="240" w:lineRule="exact"/>
              <w:rPr>
                <w:rFonts w:ascii="Calibri" w:eastAsia="細明體" w:hAnsi="Calibri" w:cs="Calibri"/>
                <w:b/>
                <w:bCs/>
                <w:sz w:val="16"/>
                <w:szCs w:val="16"/>
                <w:highlight w:val="yellow"/>
              </w:rPr>
            </w:pPr>
          </w:p>
        </w:tc>
        <w:tc>
          <w:tcPr>
            <w:tcW w:w="1075" w:type="pct"/>
            <w:vAlign w:val="center"/>
          </w:tcPr>
          <w:p w:rsidR="00D92FD9" w:rsidRPr="006D6C3D" w:rsidRDefault="00D92FD9" w:rsidP="00327688">
            <w:pPr>
              <w:widowControl/>
              <w:snapToGrid w:val="0"/>
              <w:rPr>
                <w:rFonts w:ascii="Calibri" w:eastAsia="細明體" w:hAnsi="Calibri" w:cs="Calibri"/>
                <w:sz w:val="16"/>
                <w:szCs w:val="16"/>
              </w:rPr>
            </w:pPr>
          </w:p>
        </w:tc>
        <w:tc>
          <w:tcPr>
            <w:tcW w:w="1075" w:type="pct"/>
            <w:vAlign w:val="center"/>
          </w:tcPr>
          <w:p w:rsidR="00D92FD9" w:rsidRPr="00B6334E" w:rsidRDefault="00D92FD9" w:rsidP="00327688">
            <w:pPr>
              <w:widowControl/>
              <w:snapToGrid w:val="0"/>
              <w:rPr>
                <w:rFonts w:ascii="Calibri" w:eastAsia="細明體" w:hAnsi="Calibri" w:cs="Calibri"/>
                <w:sz w:val="16"/>
                <w:szCs w:val="16"/>
              </w:rPr>
            </w:pPr>
          </w:p>
        </w:tc>
        <w:tc>
          <w:tcPr>
            <w:tcW w:w="661" w:type="pct"/>
            <w:vAlign w:val="center"/>
          </w:tcPr>
          <w:p w:rsidR="00D92FD9" w:rsidRPr="00B6334E" w:rsidRDefault="00D92FD9" w:rsidP="00327688">
            <w:pPr>
              <w:widowControl/>
              <w:snapToGrid w:val="0"/>
              <w:rPr>
                <w:rFonts w:ascii="Calibri" w:eastAsia="細明體" w:hAnsi="Calibri" w:cs="Calibri"/>
                <w:sz w:val="16"/>
                <w:szCs w:val="16"/>
              </w:rPr>
            </w:pPr>
          </w:p>
        </w:tc>
      </w:tr>
      <w:tr w:rsidR="00D92FD9" w:rsidRPr="006D6C3D" w:rsidTr="00327688">
        <w:trPr>
          <w:cantSplit/>
          <w:trHeight w:val="1322"/>
        </w:trPr>
        <w:tc>
          <w:tcPr>
            <w:tcW w:w="268" w:type="pct"/>
            <w:vMerge w:val="restart"/>
            <w:textDirection w:val="btLr"/>
            <w:vAlign w:val="center"/>
          </w:tcPr>
          <w:p w:rsidR="00D92FD9" w:rsidRPr="006D6C3D" w:rsidRDefault="00D92FD9" w:rsidP="00327688">
            <w:pPr>
              <w:widowControl/>
              <w:snapToGrid w:val="0"/>
              <w:ind w:left="113" w:right="113"/>
              <w:jc w:val="center"/>
              <w:rPr>
                <w:rFonts w:eastAsia="標楷體"/>
                <w:sz w:val="18"/>
                <w:szCs w:val="18"/>
              </w:rPr>
            </w:pPr>
            <w:r w:rsidRPr="006D6C3D">
              <w:rPr>
                <w:rFonts w:ascii="Verdana" w:hAnsi="Verdana"/>
                <w:b/>
                <w:bCs/>
                <w:i/>
                <w:iCs/>
                <w:color w:val="303030"/>
                <w:sz w:val="18"/>
                <w:szCs w:val="18"/>
                <w:shd w:val="clear" w:color="auto" w:fill="FFFFFF"/>
              </w:rPr>
              <w:t>Sustainable Development &amp; Energy Policy</w:t>
            </w:r>
          </w:p>
        </w:tc>
        <w:tc>
          <w:tcPr>
            <w:tcW w:w="216" w:type="pct"/>
            <w:vMerge w:val="restart"/>
            <w:textDirection w:val="btLr"/>
            <w:vAlign w:val="center"/>
          </w:tcPr>
          <w:p w:rsidR="00D92FD9" w:rsidRPr="006D6C3D" w:rsidRDefault="00D92FD9" w:rsidP="00327688">
            <w:pPr>
              <w:widowControl/>
              <w:snapToGrid w:val="0"/>
              <w:ind w:left="-14"/>
              <w:jc w:val="center"/>
              <w:rPr>
                <w:rFonts w:eastAsia="標楷體"/>
                <w:b/>
                <w:sz w:val="18"/>
                <w:szCs w:val="18"/>
              </w:rPr>
            </w:pPr>
            <w:r w:rsidRPr="006D6C3D">
              <w:rPr>
                <w:rFonts w:eastAsia="標楷體"/>
                <w:b/>
                <w:sz w:val="18"/>
                <w:szCs w:val="18"/>
              </w:rPr>
              <w:t>Sustainable Development</w:t>
            </w: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23</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Life cycle assessment</w:t>
            </w:r>
          </w:p>
        </w:tc>
        <w:tc>
          <w:tcPr>
            <w:tcW w:w="589" w:type="pct"/>
          </w:tcPr>
          <w:p w:rsidR="00D92FD9" w:rsidRPr="006D6C3D" w:rsidRDefault="006326A8" w:rsidP="00327688">
            <w:pPr>
              <w:widowControl/>
              <w:snapToGrid w:val="0"/>
              <w:rPr>
                <w:rFonts w:ascii="Calibri" w:eastAsia="細明體" w:hAnsi="Calibri" w:cs="Calibri"/>
                <w:b/>
                <w:sz w:val="16"/>
                <w:szCs w:val="16"/>
              </w:rPr>
            </w:pPr>
            <w:r>
              <w:rPr>
                <w:rFonts w:ascii="Calibri" w:eastAsia="細明體" w:hAnsi="Calibri" w:cs="Calibri"/>
                <w:b/>
                <w:sz w:val="16"/>
                <w:szCs w:val="16"/>
              </w:rPr>
              <w:t>Life cycle assessment (</w:t>
            </w:r>
            <w:r w:rsidR="00D92FD9">
              <w:rPr>
                <w:rFonts w:ascii="Calibri" w:eastAsia="細明體" w:hAnsi="Calibri" w:cs="Calibri"/>
                <w:b/>
                <w:sz w:val="16"/>
                <w:szCs w:val="16"/>
              </w:rPr>
              <w:t>LCA</w:t>
            </w:r>
            <w:r>
              <w:rPr>
                <w:rFonts w:ascii="Calibri" w:eastAsia="細明體" w:hAnsi="Calibri" w:cs="Calibri"/>
                <w:b/>
                <w:sz w:val="16"/>
                <w:szCs w:val="16"/>
              </w:rPr>
              <w:t>)</w:t>
            </w:r>
            <w:r w:rsidR="00D92FD9">
              <w:rPr>
                <w:rFonts w:ascii="Calibri" w:eastAsia="細明體" w:hAnsi="Calibri" w:cs="Calibri"/>
                <w:b/>
                <w:sz w:val="16"/>
                <w:szCs w:val="16"/>
              </w:rPr>
              <w:t xml:space="preserve"> + M</w:t>
            </w:r>
            <w:r w:rsidR="00D92FD9" w:rsidRPr="006D6C3D">
              <w:rPr>
                <w:rFonts w:ascii="Calibri" w:eastAsia="細明體" w:hAnsi="Calibri" w:cs="Calibri"/>
                <w:b/>
                <w:sz w:val="16"/>
                <w:szCs w:val="16"/>
              </w:rPr>
              <w:t>on</w:t>
            </w:r>
            <w:r w:rsidR="00D92FD9">
              <w:rPr>
                <w:rFonts w:ascii="Calibri" w:eastAsia="細明體" w:hAnsi="Calibri" w:cs="Calibri"/>
                <w:b/>
                <w:sz w:val="16"/>
                <w:szCs w:val="16"/>
              </w:rPr>
              <w:t>te C</w:t>
            </w:r>
            <w:r w:rsidR="00D92FD9" w:rsidRPr="006D6C3D">
              <w:rPr>
                <w:rFonts w:ascii="Calibri" w:eastAsia="細明體" w:hAnsi="Calibri" w:cs="Calibri"/>
                <w:b/>
                <w:sz w:val="16"/>
                <w:szCs w:val="16"/>
              </w:rPr>
              <w:t>arlo simulation</w:t>
            </w:r>
            <w:r>
              <w:rPr>
                <w:rFonts w:ascii="Calibri" w:eastAsia="細明體" w:hAnsi="Calibri" w:cs="Calibri"/>
                <w:b/>
                <w:sz w:val="16"/>
                <w:szCs w:val="16"/>
              </w:rPr>
              <w:t xml:space="preserve"> (MCS)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Develop a carbon dioxide emissions evaluation system and an environmental cost calculation method</w:t>
            </w:r>
          </w:p>
        </w:tc>
        <w:tc>
          <w:tcPr>
            <w:tcW w:w="1075" w:type="pct"/>
          </w:tcPr>
          <w:p w:rsidR="00D92FD9"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proposed method can guide engineers and architects in evaluating the primary environmental risk for a building life cycle and selecting an appropriate construction method</w:t>
            </w:r>
          </w:p>
          <w:p w:rsidR="00D92FD9" w:rsidRDefault="00D92FD9" w:rsidP="00327688">
            <w:pPr>
              <w:widowControl/>
              <w:snapToGrid w:val="0"/>
              <w:rPr>
                <w:rFonts w:ascii="Calibri" w:eastAsia="細明體" w:hAnsi="Calibri" w:cs="Calibri"/>
                <w:sz w:val="16"/>
                <w:szCs w:val="16"/>
              </w:rPr>
            </w:pPr>
          </w:p>
          <w:p w:rsidR="00D92FD9" w:rsidRDefault="00D92FD9" w:rsidP="00327688">
            <w:pPr>
              <w:widowControl/>
              <w:snapToGrid w:val="0"/>
              <w:rPr>
                <w:rFonts w:ascii="Calibri" w:eastAsia="細明體" w:hAnsi="Calibri" w:cs="Calibri"/>
                <w:sz w:val="16"/>
                <w:szCs w:val="16"/>
              </w:rPr>
            </w:pPr>
          </w:p>
          <w:p w:rsidR="00D92FD9" w:rsidRDefault="00D92FD9" w:rsidP="00327688">
            <w:pPr>
              <w:widowControl/>
              <w:snapToGrid w:val="0"/>
              <w:rPr>
                <w:rFonts w:ascii="Calibri" w:eastAsia="細明體" w:hAnsi="Calibri" w:cs="Calibri"/>
                <w:sz w:val="16"/>
                <w:szCs w:val="16"/>
              </w:rPr>
            </w:pPr>
          </w:p>
          <w:p w:rsidR="00D92FD9" w:rsidRPr="006D6C3D" w:rsidRDefault="00D92FD9" w:rsidP="00327688">
            <w:pPr>
              <w:widowControl/>
              <w:snapToGrid w:val="0"/>
              <w:rPr>
                <w:rFonts w:ascii="Calibri" w:eastAsia="細明體" w:hAnsi="Calibri" w:cs="Calibri"/>
                <w:sz w:val="16"/>
                <w:szCs w:val="16"/>
              </w:rPr>
            </w:pPr>
          </w:p>
        </w:tc>
        <w:tc>
          <w:tcPr>
            <w:tcW w:w="661" w:type="pct"/>
          </w:tcPr>
          <w:p w:rsidR="00D92FD9" w:rsidRPr="00B6334E" w:rsidRDefault="00D92FD9" w:rsidP="00327688">
            <w:pPr>
              <w:widowControl/>
              <w:snapToGrid w:val="0"/>
              <w:rPr>
                <w:rFonts w:ascii="Calibri" w:eastAsia="細明體" w:hAnsi="Calibri" w:cs="Calibri"/>
                <w:sz w:val="16"/>
                <w:szCs w:val="16"/>
              </w:rPr>
            </w:pPr>
            <w:r>
              <w:rPr>
                <w:rFonts w:ascii="Calibri" w:eastAsia="細明體" w:hAnsi="Calibri" w:cs="Calibri" w:hint="eastAsia"/>
                <w:sz w:val="16"/>
                <w:szCs w:val="16"/>
              </w:rPr>
              <w:t>@Risk</w:t>
            </w:r>
          </w:p>
        </w:tc>
      </w:tr>
      <w:tr w:rsidR="00D92FD9" w:rsidRPr="006D6C3D" w:rsidTr="00327688">
        <w:trPr>
          <w:cantSplit/>
          <w:trHeight w:val="1700"/>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24</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 xml:space="preserve">Probabilistic multi-objective </w:t>
            </w:r>
            <w:r w:rsidR="006326A8">
              <w:rPr>
                <w:rFonts w:ascii="Calibri" w:eastAsia="細明體" w:hAnsi="Calibri" w:cs="Calibri"/>
                <w:sz w:val="16"/>
                <w:szCs w:val="16"/>
              </w:rPr>
              <w:t xml:space="preserve">optimization algorithm </w:t>
            </w:r>
            <w:r w:rsidRPr="006D6C3D">
              <w:rPr>
                <w:rFonts w:ascii="Calibri" w:eastAsia="細明體" w:hAnsi="Calibri" w:cs="Calibri"/>
                <w:sz w:val="16"/>
                <w:szCs w:val="16"/>
              </w:rPr>
              <w:t>PSO (PMOPSO)</w:t>
            </w:r>
          </w:p>
        </w:tc>
        <w:tc>
          <w:tcPr>
            <w:tcW w:w="589" w:type="pct"/>
          </w:tcPr>
          <w:p w:rsidR="00D92FD9" w:rsidRPr="006D6C3D" w:rsidRDefault="00D92FD9" w:rsidP="00327688">
            <w:pPr>
              <w:widowControl/>
              <w:snapToGrid w:val="0"/>
              <w:rPr>
                <w:rFonts w:ascii="Calibri" w:eastAsia="細明體" w:hAnsi="Calibri" w:cs="Calibri"/>
                <w:b/>
                <w:sz w:val="16"/>
                <w:szCs w:val="16"/>
              </w:rPr>
            </w:pPr>
            <w:r>
              <w:rPr>
                <w:rFonts w:ascii="Calibri" w:eastAsia="細明體" w:hAnsi="Calibri" w:cs="Calibri"/>
                <w:b/>
                <w:sz w:val="16"/>
                <w:szCs w:val="16"/>
              </w:rPr>
              <w:t>PMOPSO + Monte C</w:t>
            </w:r>
            <w:r w:rsidRPr="006D6C3D">
              <w:rPr>
                <w:rFonts w:ascii="Calibri" w:eastAsia="細明體" w:hAnsi="Calibri" w:cs="Calibri"/>
                <w:b/>
                <w:sz w:val="16"/>
                <w:szCs w:val="16"/>
              </w:rPr>
              <w:t>arlo simulation</w:t>
            </w:r>
          </w:p>
        </w:tc>
        <w:tc>
          <w:tcPr>
            <w:tcW w:w="1075" w:type="pct"/>
          </w:tcPr>
          <w:p w:rsidR="00D92FD9" w:rsidRPr="006D6C3D" w:rsidRDefault="00D92FD9" w:rsidP="00327688">
            <w:pPr>
              <w:widowControl/>
              <w:snapToGrid w:val="0"/>
              <w:rPr>
                <w:rFonts w:ascii="Calibri" w:eastAsia="細明體" w:hAnsi="Calibri" w:cs="Calibri"/>
                <w:sz w:val="16"/>
                <w:szCs w:val="16"/>
                <w:lang w:val="id-ID"/>
              </w:rPr>
            </w:pPr>
            <w:r w:rsidRPr="006D6C3D">
              <w:rPr>
                <w:rFonts w:ascii="Calibri" w:eastAsia="細明體" w:hAnsi="Calibri" w:cs="Calibri"/>
                <w:sz w:val="16"/>
                <w:szCs w:val="16"/>
              </w:rPr>
              <w:t>F</w:t>
            </w:r>
            <w:r w:rsidRPr="006D6C3D">
              <w:rPr>
                <w:rFonts w:ascii="Calibri" w:eastAsia="細明體" w:hAnsi="Calibri" w:cs="Calibri"/>
                <w:sz w:val="16"/>
                <w:szCs w:val="16"/>
                <w:lang w:val="id-ID"/>
              </w:rPr>
              <w:t xml:space="preserve">acilitating project managers in achieving a design that satisfies technical and quality requirements </w:t>
            </w:r>
            <w:r w:rsidRPr="00B6334E">
              <w:rPr>
                <w:rFonts w:ascii="Calibri" w:eastAsia="細明體" w:hAnsi="Calibri" w:cs="Calibri"/>
                <w:sz w:val="16"/>
                <w:szCs w:val="16"/>
              </w:rPr>
              <w:t>with</w:t>
            </w:r>
            <w:r w:rsidRPr="006D6C3D">
              <w:rPr>
                <w:rFonts w:ascii="Calibri" w:eastAsia="細明體" w:hAnsi="Calibri" w:cs="Calibri"/>
                <w:sz w:val="16"/>
                <w:szCs w:val="16"/>
                <w:lang w:val="id-ID"/>
              </w:rPr>
              <w:t xml:space="preserve"> lowest cost,</w:t>
            </w:r>
            <w:r w:rsidRPr="006D6C3D">
              <w:rPr>
                <w:rFonts w:ascii="Calibri" w:eastAsia="細明體" w:hAnsi="Calibri" w:cs="Calibri"/>
                <w:sz w:val="16"/>
                <w:szCs w:val="16"/>
              </w:rPr>
              <w:t xml:space="preserve"> </w:t>
            </w:r>
            <w:r w:rsidRPr="006D6C3D">
              <w:rPr>
                <w:rFonts w:ascii="Calibri" w:eastAsia="細明體" w:hAnsi="Calibri" w:cs="Calibri"/>
                <w:sz w:val="16"/>
                <w:szCs w:val="16"/>
                <w:lang w:val="id-ID"/>
              </w:rPr>
              <w:t>shortest duration, and minimal adverse impacts on the environment</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This work proposes a novel probabilistic multi-objective optimization algorithm to attain sustainable construction cost, project duration, and CO2 emissions simultaneously in an uncertain project environment The novel algorithm, which is based on Particle Swarm Optimization integrated with Monte Carlo simulation, is applied to generate a low-carbon economy and cleaner production</w:t>
            </w:r>
          </w:p>
        </w:tc>
        <w:tc>
          <w:tcPr>
            <w:tcW w:w="661" w:type="pct"/>
          </w:tcPr>
          <w:p w:rsidR="00D92FD9" w:rsidRPr="006D6C3D" w:rsidRDefault="00D92FD9" w:rsidP="00327688">
            <w:pPr>
              <w:widowControl/>
              <w:snapToGrid w:val="0"/>
              <w:rPr>
                <w:rFonts w:ascii="Calibri" w:eastAsia="細明體" w:hAnsi="Calibri" w:cs="Calibri"/>
                <w:sz w:val="16"/>
                <w:szCs w:val="16"/>
              </w:rPr>
            </w:pPr>
            <w:r>
              <w:rPr>
                <w:rFonts w:ascii="Calibri" w:eastAsia="細明體" w:hAnsi="Calibri" w:cs="Calibri"/>
                <w:sz w:val="16"/>
                <w:szCs w:val="16"/>
              </w:rPr>
              <w:t>MATLAB</w:t>
            </w:r>
            <w:r w:rsidRPr="006D6C3D">
              <w:rPr>
                <w:rFonts w:ascii="Calibri" w:eastAsia="細明體" w:hAnsi="Calibri" w:cs="Calibri"/>
                <w:sz w:val="16"/>
                <w:szCs w:val="16"/>
              </w:rPr>
              <w:t xml:space="preserve"> R2008</w:t>
            </w:r>
          </w:p>
        </w:tc>
      </w:tr>
      <w:tr w:rsidR="00D92FD9" w:rsidRPr="006D6C3D" w:rsidTr="00327688">
        <w:trPr>
          <w:cantSplit/>
          <w:trHeight w:val="1700"/>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25</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Quantitative and qualitative analysis</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sz w:val="16"/>
                <w:szCs w:val="16"/>
              </w:rPr>
              <w:t>Quantitative + qualitative analysis</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Determine what aspects hinder the integration of sustainability and lean concepts within the region</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A process for planning throughout the entire construction process was determined so that waste can be reduced and the integration of lean and sustainable concepts is more achievable</w:t>
            </w:r>
          </w:p>
        </w:tc>
        <w:tc>
          <w:tcPr>
            <w:tcW w:w="661" w:type="pct"/>
          </w:tcPr>
          <w:p w:rsidR="00D92FD9" w:rsidRPr="006D6C3D" w:rsidRDefault="00D92FD9" w:rsidP="00327688">
            <w:pPr>
              <w:widowControl/>
              <w:spacing w:line="240" w:lineRule="exact"/>
              <w:rPr>
                <w:rFonts w:ascii="Calibri" w:eastAsia="細明體" w:hAnsi="Calibri" w:cs="Calibri"/>
                <w:noProof/>
                <w:sz w:val="16"/>
                <w:szCs w:val="16"/>
                <w:lang w:eastAsia="en-GB"/>
              </w:rPr>
            </w:pPr>
          </w:p>
        </w:tc>
      </w:tr>
      <w:tr w:rsidR="00D92FD9" w:rsidRPr="006D6C3D" w:rsidTr="00327688">
        <w:trPr>
          <w:cantSplit/>
          <w:trHeight w:val="1700"/>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26</w:t>
            </w:r>
          </w:p>
        </w:tc>
        <w:tc>
          <w:tcPr>
            <w:tcW w:w="813"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Level of awareness of and preparedness</w:t>
            </w:r>
          </w:p>
        </w:tc>
        <w:tc>
          <w:tcPr>
            <w:tcW w:w="589" w:type="pct"/>
          </w:tcPr>
          <w:p w:rsidR="00D92FD9" w:rsidRPr="006D6C3D" w:rsidRDefault="00D92FD9" w:rsidP="00327688">
            <w:pPr>
              <w:widowControl/>
              <w:snapToGrid w:val="0"/>
              <w:rPr>
                <w:rFonts w:ascii="Calibri" w:eastAsia="細明體" w:hAnsi="Calibri" w:cs="Calibri"/>
                <w:b/>
                <w:bCs/>
                <w:sz w:val="16"/>
                <w:szCs w:val="16"/>
              </w:rPr>
            </w:pPr>
            <w:r w:rsidRPr="006D6C3D">
              <w:rPr>
                <w:rFonts w:ascii="Calibri" w:eastAsia="細明體" w:hAnsi="Calibri" w:cs="Calibri"/>
                <w:b/>
                <w:bCs/>
                <w:sz w:val="16"/>
                <w:szCs w:val="16"/>
              </w:rPr>
              <w:t xml:space="preserve">Survey + statistical analysis </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Implementing Sustainable Development in the Construction Industry</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results of this study indicate that constructors should have more responsibilities and get involved at an earlier stage of a construction project – during the design phase – in order to exploit their knowledge</w:t>
            </w:r>
          </w:p>
        </w:tc>
        <w:tc>
          <w:tcPr>
            <w:tcW w:w="661"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Statistical package SPSS</w:t>
            </w:r>
          </w:p>
        </w:tc>
      </w:tr>
      <w:tr w:rsidR="00D92FD9" w:rsidRPr="006D6C3D" w:rsidTr="00327688">
        <w:trPr>
          <w:cantSplit/>
          <w:trHeight w:val="37"/>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textDirection w:val="btLr"/>
          </w:tcPr>
          <w:p w:rsidR="00D92FD9" w:rsidRPr="006D6C3D" w:rsidRDefault="00D92FD9" w:rsidP="00327688">
            <w:pPr>
              <w:widowControl/>
              <w:snapToGrid w:val="0"/>
              <w:ind w:left="113" w:right="113"/>
              <w:rPr>
                <w:rFonts w:eastAsia="標楷體"/>
                <w:b/>
                <w:sz w:val="18"/>
                <w:szCs w:val="18"/>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27</w:t>
            </w:r>
          </w:p>
        </w:tc>
        <w:tc>
          <w:tcPr>
            <w:tcW w:w="813" w:type="pct"/>
          </w:tcPr>
          <w:p w:rsidR="00D92FD9" w:rsidRPr="006D6C3D" w:rsidRDefault="00D92FD9" w:rsidP="00327688">
            <w:pPr>
              <w:widowControl/>
              <w:spacing w:line="240" w:lineRule="exact"/>
              <w:rPr>
                <w:rFonts w:ascii="Calibri" w:eastAsia="細明體" w:hAnsi="Calibri" w:cs="Calibri"/>
                <w:sz w:val="16"/>
                <w:szCs w:val="16"/>
                <w:lang w:val="id-ID"/>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tcPr>
          <w:p w:rsidR="00D92FD9" w:rsidRPr="006D6C3D" w:rsidRDefault="00D92FD9" w:rsidP="00327688">
            <w:pPr>
              <w:widowControl/>
              <w:spacing w:line="240" w:lineRule="exact"/>
              <w:rPr>
                <w:rFonts w:ascii="Calibri" w:eastAsia="細明體" w:hAnsi="Calibri" w:cs="Calibri"/>
                <w:b/>
                <w:bCs/>
                <w:sz w:val="16"/>
                <w:szCs w:val="16"/>
              </w:rPr>
            </w:pPr>
          </w:p>
        </w:tc>
        <w:tc>
          <w:tcPr>
            <w:tcW w:w="1075" w:type="pct"/>
          </w:tcPr>
          <w:p w:rsidR="00D92FD9" w:rsidRPr="006D6C3D" w:rsidRDefault="00D92FD9" w:rsidP="00327688">
            <w:pPr>
              <w:widowControl/>
              <w:spacing w:before="0" w:beforeAutospacing="0" w:after="0" w:afterAutospacing="0" w:line="240" w:lineRule="exact"/>
              <w:rPr>
                <w:rFonts w:ascii="Calibri" w:eastAsia="細明體" w:hAnsi="Calibri" w:cs="Calibri"/>
                <w:sz w:val="16"/>
                <w:szCs w:val="16"/>
              </w:rPr>
            </w:pPr>
          </w:p>
        </w:tc>
        <w:tc>
          <w:tcPr>
            <w:tcW w:w="1075" w:type="pct"/>
          </w:tcPr>
          <w:p w:rsidR="00D92FD9" w:rsidRPr="006D6C3D" w:rsidRDefault="00D92FD9" w:rsidP="00327688">
            <w:pPr>
              <w:widowControl/>
              <w:spacing w:line="240" w:lineRule="exact"/>
              <w:rPr>
                <w:rFonts w:ascii="Calibri" w:eastAsia="細明體" w:hAnsi="Calibri" w:cs="Calibri"/>
                <w:sz w:val="16"/>
                <w:szCs w:val="16"/>
              </w:rPr>
            </w:pPr>
          </w:p>
        </w:tc>
        <w:tc>
          <w:tcPr>
            <w:tcW w:w="661" w:type="pct"/>
          </w:tcPr>
          <w:p w:rsidR="00D92FD9" w:rsidRPr="006D6C3D" w:rsidRDefault="00D92FD9" w:rsidP="00327688">
            <w:pPr>
              <w:widowControl/>
              <w:spacing w:line="240" w:lineRule="exact"/>
              <w:rPr>
                <w:rFonts w:ascii="Calibri" w:eastAsia="細明體" w:hAnsi="Calibri" w:cs="Calibri"/>
                <w:noProof/>
                <w:sz w:val="16"/>
                <w:szCs w:val="16"/>
                <w:lang w:eastAsia="en-GB"/>
              </w:rPr>
            </w:pPr>
          </w:p>
        </w:tc>
      </w:tr>
      <w:tr w:rsidR="00D92FD9" w:rsidRPr="006D6C3D" w:rsidTr="00327688">
        <w:trPr>
          <w:cantSplit/>
          <w:trHeight w:val="1084"/>
        </w:trPr>
        <w:tc>
          <w:tcPr>
            <w:tcW w:w="268" w:type="pct"/>
            <w:vMerge/>
            <w:textDirection w:val="btLr"/>
          </w:tcPr>
          <w:p w:rsidR="00D92FD9" w:rsidRPr="006D6C3D" w:rsidRDefault="00D92FD9" w:rsidP="00327688">
            <w:pPr>
              <w:widowControl/>
              <w:snapToGrid w:val="0"/>
              <w:ind w:left="113" w:right="113"/>
              <w:rPr>
                <w:rFonts w:eastAsia="標楷體"/>
                <w:sz w:val="18"/>
                <w:szCs w:val="18"/>
              </w:rPr>
            </w:pPr>
          </w:p>
        </w:tc>
        <w:tc>
          <w:tcPr>
            <w:tcW w:w="216" w:type="pct"/>
            <w:vMerge w:val="restart"/>
            <w:textDirection w:val="btLr"/>
            <w:vAlign w:val="center"/>
          </w:tcPr>
          <w:p w:rsidR="00D92FD9" w:rsidRPr="006D6C3D" w:rsidRDefault="00D92FD9" w:rsidP="00327688">
            <w:pPr>
              <w:widowControl/>
              <w:snapToGrid w:val="0"/>
              <w:ind w:left="113" w:right="113"/>
              <w:jc w:val="center"/>
              <w:rPr>
                <w:rFonts w:eastAsia="標楷體"/>
                <w:b/>
                <w:sz w:val="18"/>
                <w:szCs w:val="18"/>
              </w:rPr>
            </w:pPr>
            <w:r w:rsidRPr="006D6C3D">
              <w:rPr>
                <w:rFonts w:eastAsia="標楷體"/>
                <w:b/>
                <w:sz w:val="18"/>
                <w:szCs w:val="18"/>
              </w:rPr>
              <w:t>Energy Policy</w:t>
            </w: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28</w:t>
            </w:r>
          </w:p>
        </w:tc>
        <w:tc>
          <w:tcPr>
            <w:tcW w:w="813" w:type="pct"/>
            <w:vMerge w:val="restart"/>
            <w:vAlign w:val="center"/>
          </w:tcPr>
          <w:p w:rsidR="00D92FD9" w:rsidRPr="006D6C3D" w:rsidRDefault="00D92FD9" w:rsidP="00327688">
            <w:pPr>
              <w:widowControl/>
              <w:snapToGrid w:val="0"/>
              <w:rPr>
                <w:rFonts w:ascii="Calibri" w:eastAsia="細明體" w:hAnsi="Calibri" w:cs="Calibri"/>
                <w:sz w:val="16"/>
                <w:szCs w:val="16"/>
                <w:lang w:val="id-ID"/>
              </w:rPr>
            </w:pPr>
            <w:r w:rsidRPr="006D6C3D">
              <w:rPr>
                <w:rFonts w:ascii="Calibri" w:eastAsia="細明體" w:hAnsi="Calibri" w:cs="Calibri"/>
                <w:sz w:val="16"/>
                <w:szCs w:val="16"/>
              </w:rPr>
              <w:t>Structural equation modeling (SEM)</w:t>
            </w:r>
          </w:p>
        </w:tc>
        <w:tc>
          <w:tcPr>
            <w:tcW w:w="589" w:type="pct"/>
            <w:vMerge w:val="restart"/>
            <w:vAlign w:val="center"/>
          </w:tcPr>
          <w:p w:rsidR="00D92FD9" w:rsidRPr="006D6C3D" w:rsidRDefault="00D71735" w:rsidP="00F229FD">
            <w:pPr>
              <w:widowControl/>
              <w:snapToGrid w:val="0"/>
              <w:rPr>
                <w:rFonts w:ascii="Calibri" w:eastAsia="細明體" w:hAnsi="Calibri" w:cs="Calibri"/>
                <w:b/>
                <w:bCs/>
                <w:sz w:val="16"/>
                <w:szCs w:val="16"/>
              </w:rPr>
            </w:pPr>
            <w:r w:rsidRPr="006D6C3D">
              <w:rPr>
                <w:rFonts w:ascii="Calibri" w:eastAsia="細明體" w:hAnsi="Calibri" w:cs="Calibri"/>
                <w:sz w:val="16"/>
                <w:szCs w:val="16"/>
              </w:rPr>
              <w:t xml:space="preserve"> </w:t>
            </w:r>
            <w:r w:rsidRPr="00D71735">
              <w:rPr>
                <w:rFonts w:ascii="Calibri" w:eastAsia="細明體" w:hAnsi="Calibri" w:cs="Calibri"/>
                <w:b/>
                <w:bCs/>
                <w:sz w:val="16"/>
                <w:szCs w:val="16"/>
              </w:rPr>
              <w:t xml:space="preserve">Structural </w:t>
            </w:r>
            <w:r w:rsidR="00F229FD">
              <w:rPr>
                <w:rFonts w:ascii="Calibri" w:eastAsia="細明體" w:hAnsi="Calibri" w:cs="Calibri"/>
                <w:b/>
                <w:bCs/>
                <w:sz w:val="16"/>
                <w:szCs w:val="16"/>
              </w:rPr>
              <w:t>E</w:t>
            </w:r>
            <w:r w:rsidRPr="00D71735">
              <w:rPr>
                <w:rFonts w:ascii="Calibri" w:eastAsia="細明體" w:hAnsi="Calibri" w:cs="Calibri"/>
                <w:b/>
                <w:bCs/>
                <w:sz w:val="16"/>
                <w:szCs w:val="16"/>
              </w:rPr>
              <w:t xml:space="preserve">quation </w:t>
            </w:r>
            <w:r w:rsidR="00F229FD">
              <w:rPr>
                <w:rFonts w:ascii="Calibri" w:eastAsia="細明體" w:hAnsi="Calibri" w:cs="Calibri"/>
                <w:b/>
                <w:bCs/>
                <w:sz w:val="16"/>
                <w:szCs w:val="16"/>
              </w:rPr>
              <w:t>M</w:t>
            </w:r>
            <w:r w:rsidRPr="00D71735">
              <w:rPr>
                <w:rFonts w:ascii="Calibri" w:eastAsia="細明體" w:hAnsi="Calibri" w:cs="Calibri"/>
                <w:b/>
                <w:bCs/>
                <w:sz w:val="16"/>
                <w:szCs w:val="16"/>
              </w:rPr>
              <w:t>odeling (</w:t>
            </w:r>
            <w:r w:rsidRPr="006D6C3D">
              <w:rPr>
                <w:rFonts w:ascii="Calibri" w:eastAsia="細明體" w:hAnsi="Calibri" w:cs="Calibri"/>
                <w:b/>
                <w:bCs/>
                <w:sz w:val="16"/>
                <w:szCs w:val="16"/>
              </w:rPr>
              <w:t>SEM</w:t>
            </w:r>
            <w:r>
              <w:rPr>
                <w:rFonts w:ascii="Calibri" w:eastAsia="細明體" w:hAnsi="Calibri" w:cs="Calibri"/>
                <w:b/>
                <w:bCs/>
                <w:sz w:val="16"/>
                <w:szCs w:val="16"/>
              </w:rPr>
              <w:t>)</w:t>
            </w:r>
            <w:r w:rsidRPr="006D6C3D">
              <w:rPr>
                <w:rFonts w:ascii="Calibri" w:eastAsia="細明體" w:hAnsi="Calibri" w:cs="Calibri"/>
                <w:b/>
                <w:bCs/>
                <w:sz w:val="16"/>
                <w:szCs w:val="16"/>
              </w:rPr>
              <w:t xml:space="preserve"> + </w:t>
            </w:r>
            <w:r w:rsidRPr="00D71735">
              <w:rPr>
                <w:rFonts w:ascii="Calibri" w:eastAsia="細明體" w:hAnsi="Calibri" w:cs="Calibri"/>
                <w:b/>
                <w:bCs/>
                <w:sz w:val="16"/>
                <w:szCs w:val="16"/>
              </w:rPr>
              <w:t>Consumer Perceived Expectation Analysis</w:t>
            </w:r>
            <w:r w:rsidRPr="006D6C3D">
              <w:rPr>
                <w:rFonts w:ascii="Calibri" w:eastAsia="細明體" w:hAnsi="Calibri" w:cs="Calibri"/>
                <w:b/>
                <w:bCs/>
                <w:sz w:val="16"/>
                <w:szCs w:val="16"/>
              </w:rPr>
              <w:t xml:space="preserve"> </w:t>
            </w:r>
            <w:r>
              <w:rPr>
                <w:rFonts w:ascii="Calibri" w:eastAsia="細明體" w:hAnsi="Calibri" w:cs="Calibri"/>
                <w:b/>
                <w:bCs/>
                <w:sz w:val="16"/>
                <w:szCs w:val="16"/>
              </w:rPr>
              <w:t>(</w:t>
            </w:r>
            <w:r w:rsidRPr="006D6C3D">
              <w:rPr>
                <w:rFonts w:ascii="Calibri" w:eastAsia="細明體" w:hAnsi="Calibri" w:cs="Calibri"/>
                <w:b/>
                <w:bCs/>
                <w:sz w:val="16"/>
                <w:szCs w:val="16"/>
              </w:rPr>
              <w:t>ICPEA</w:t>
            </w:r>
            <w:r>
              <w:rPr>
                <w:rFonts w:ascii="Calibri" w:eastAsia="細明體" w:hAnsi="Calibri" w:cs="Calibri"/>
                <w:b/>
                <w:bCs/>
                <w:sz w:val="16"/>
                <w:szCs w:val="16"/>
              </w:rPr>
              <w:t>)</w:t>
            </w:r>
            <w:r w:rsidRPr="006D6C3D">
              <w:rPr>
                <w:rFonts w:ascii="Calibri" w:eastAsia="細明體" w:hAnsi="Calibri" w:cs="Calibri"/>
                <w:b/>
                <w:bCs/>
                <w:sz w:val="16"/>
                <w:szCs w:val="16"/>
              </w:rPr>
              <w:t xml:space="preserve"> +</w:t>
            </w:r>
            <w:r>
              <w:rPr>
                <w:rFonts w:ascii="Calibri" w:eastAsia="細明體" w:hAnsi="Calibri" w:cs="Calibri"/>
                <w:b/>
                <w:bCs/>
                <w:sz w:val="16"/>
                <w:szCs w:val="16"/>
              </w:rPr>
              <w:t xml:space="preserve"> </w:t>
            </w:r>
            <w:r w:rsidR="00F229FD">
              <w:rPr>
                <w:rFonts w:ascii="Calibri" w:eastAsia="細明體" w:hAnsi="Calibri" w:cs="Calibri"/>
                <w:b/>
                <w:bCs/>
                <w:sz w:val="16"/>
                <w:szCs w:val="16"/>
              </w:rPr>
              <w:t>C</w:t>
            </w:r>
            <w:r w:rsidRPr="00D71735">
              <w:rPr>
                <w:rFonts w:ascii="Calibri" w:eastAsia="細明體" w:hAnsi="Calibri" w:cs="Calibri"/>
                <w:b/>
                <w:bCs/>
                <w:sz w:val="16"/>
                <w:szCs w:val="16"/>
              </w:rPr>
              <w:t xml:space="preserve">onsumer </w:t>
            </w:r>
            <w:r w:rsidR="00F229FD">
              <w:rPr>
                <w:rFonts w:ascii="Calibri" w:eastAsia="細明體" w:hAnsi="Calibri" w:cs="Calibri"/>
                <w:b/>
                <w:bCs/>
                <w:sz w:val="16"/>
                <w:szCs w:val="16"/>
              </w:rPr>
              <w:t>A</w:t>
            </w:r>
            <w:r w:rsidRPr="00D71735">
              <w:rPr>
                <w:rFonts w:ascii="Calibri" w:eastAsia="細明體" w:hAnsi="Calibri" w:cs="Calibri"/>
                <w:b/>
                <w:bCs/>
                <w:sz w:val="16"/>
                <w:szCs w:val="16"/>
              </w:rPr>
              <w:t xml:space="preserve">doption </w:t>
            </w:r>
            <w:r w:rsidR="00F229FD">
              <w:rPr>
                <w:rFonts w:ascii="Calibri" w:eastAsia="細明體" w:hAnsi="Calibri" w:cs="Calibri"/>
                <w:b/>
                <w:bCs/>
                <w:sz w:val="16"/>
                <w:szCs w:val="16"/>
              </w:rPr>
              <w:t>P</w:t>
            </w:r>
            <w:r w:rsidRPr="00D71735">
              <w:rPr>
                <w:rFonts w:ascii="Calibri" w:eastAsia="細明體" w:hAnsi="Calibri" w:cs="Calibri"/>
                <w:b/>
                <w:bCs/>
                <w:sz w:val="16"/>
                <w:szCs w:val="16"/>
              </w:rPr>
              <w:t>ropensity</w:t>
            </w:r>
            <w:r w:rsidRPr="006D6C3D">
              <w:rPr>
                <w:rFonts w:ascii="Calibri" w:eastAsia="細明體" w:hAnsi="Calibri" w:cs="Calibri"/>
                <w:b/>
                <w:bCs/>
                <w:sz w:val="16"/>
                <w:szCs w:val="16"/>
              </w:rPr>
              <w:t xml:space="preserve"> </w:t>
            </w:r>
            <w:r>
              <w:rPr>
                <w:rFonts w:ascii="Calibri" w:eastAsia="細明體" w:hAnsi="Calibri" w:cs="Calibri"/>
                <w:b/>
                <w:bCs/>
                <w:sz w:val="16"/>
                <w:szCs w:val="16"/>
              </w:rPr>
              <w:t>(</w:t>
            </w:r>
            <w:r w:rsidRPr="006D6C3D">
              <w:rPr>
                <w:rFonts w:ascii="Calibri" w:eastAsia="細明體" w:hAnsi="Calibri" w:cs="Calibri"/>
                <w:b/>
                <w:bCs/>
                <w:sz w:val="16"/>
                <w:szCs w:val="16"/>
              </w:rPr>
              <w:t>CAP</w:t>
            </w:r>
            <w:r>
              <w:rPr>
                <w:rFonts w:ascii="Calibri" w:eastAsia="細明體" w:hAnsi="Calibri" w:cs="Calibri"/>
                <w:b/>
                <w:bCs/>
                <w:sz w:val="16"/>
                <w:szCs w:val="16"/>
              </w:rPr>
              <w:t>)</w:t>
            </w: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Examine similarities and differences in consumer adoption of smart meters across Taiwan, Korean, Indonesia, and Vietnam</w:t>
            </w:r>
          </w:p>
          <w:p w:rsidR="00D92FD9" w:rsidRPr="006D6C3D" w:rsidRDefault="00D92FD9" w:rsidP="00327688">
            <w:pPr>
              <w:spacing w:before="0" w:beforeAutospacing="0" w:after="0" w:afterAutospacing="0" w:line="240" w:lineRule="exact"/>
              <w:rPr>
                <w:rFonts w:ascii="Calibri" w:eastAsia="細明體" w:hAnsi="Calibri" w:cs="Calibri"/>
                <w:sz w:val="16"/>
                <w:szCs w:val="16"/>
              </w:rPr>
            </w:pPr>
          </w:p>
        </w:tc>
        <w:tc>
          <w:tcPr>
            <w:tcW w:w="1075" w:type="pct"/>
            <w:vMerge w:val="restar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The findings of this study improve understanding of regional differences in consumer adoption of smart grid systems</w:t>
            </w:r>
          </w:p>
        </w:tc>
        <w:tc>
          <w:tcPr>
            <w:tcW w:w="661" w:type="pct"/>
            <w:vMerge w:val="restart"/>
            <w:vAlign w:val="center"/>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IBM SPSS and AMOS</w:t>
            </w:r>
          </w:p>
        </w:tc>
      </w:tr>
      <w:tr w:rsidR="00D92FD9" w:rsidRPr="006D6C3D" w:rsidTr="00327688">
        <w:trPr>
          <w:cantSplit/>
          <w:trHeight w:val="709"/>
        </w:trPr>
        <w:tc>
          <w:tcPr>
            <w:tcW w:w="268" w:type="pct"/>
            <w:vMerge/>
            <w:textDirection w:val="btLr"/>
          </w:tcPr>
          <w:p w:rsidR="00D92FD9" w:rsidRPr="006D6C3D" w:rsidRDefault="00D92FD9" w:rsidP="00327688">
            <w:pPr>
              <w:widowControl/>
              <w:snapToGrid w:val="0"/>
              <w:ind w:left="113" w:right="113"/>
              <w:rPr>
                <w:rFonts w:eastAsia="標楷體"/>
                <w:sz w:val="16"/>
                <w:szCs w:val="16"/>
              </w:rPr>
            </w:pPr>
          </w:p>
        </w:tc>
        <w:tc>
          <w:tcPr>
            <w:tcW w:w="216" w:type="pct"/>
            <w:vMerge/>
            <w:textDirection w:val="btLr"/>
          </w:tcPr>
          <w:p w:rsidR="00D92FD9" w:rsidRPr="006D6C3D" w:rsidRDefault="00D92FD9" w:rsidP="00327688">
            <w:pPr>
              <w:widowControl/>
              <w:snapToGrid w:val="0"/>
              <w:ind w:left="113" w:right="113"/>
              <w:rPr>
                <w:rFonts w:eastAsia="標楷體"/>
                <w:b/>
                <w:sz w:val="16"/>
                <w:szCs w:val="16"/>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29</w:t>
            </w:r>
          </w:p>
        </w:tc>
        <w:tc>
          <w:tcPr>
            <w:tcW w:w="813" w:type="pct"/>
            <w:vMerge/>
          </w:tcPr>
          <w:p w:rsidR="00D92FD9" w:rsidRPr="006D6C3D" w:rsidRDefault="00D92FD9" w:rsidP="00327688">
            <w:pPr>
              <w:widowControl/>
              <w:spacing w:line="240" w:lineRule="exact"/>
              <w:rPr>
                <w:rFonts w:ascii="Calibri" w:eastAsia="細明體" w:hAnsi="Calibri" w:cs="Calibri"/>
                <w:sz w:val="16"/>
                <w:szCs w:val="16"/>
                <w:lang w:val="id-ID"/>
              </w:rPr>
            </w:pPr>
          </w:p>
        </w:tc>
        <w:tc>
          <w:tcPr>
            <w:tcW w:w="589" w:type="pct"/>
            <w:vMerge/>
          </w:tcPr>
          <w:p w:rsidR="00D92FD9" w:rsidRPr="006D6C3D" w:rsidRDefault="00D92FD9" w:rsidP="00327688">
            <w:pPr>
              <w:spacing w:line="240" w:lineRule="exact"/>
              <w:rPr>
                <w:rFonts w:ascii="Calibri" w:eastAsia="細明體" w:hAnsi="Calibri" w:cs="Calibri"/>
                <w:sz w:val="16"/>
                <w:szCs w:val="16"/>
              </w:rPr>
            </w:pPr>
          </w:p>
        </w:tc>
        <w:tc>
          <w:tcPr>
            <w:tcW w:w="1075" w:type="pct"/>
          </w:tcPr>
          <w:p w:rsidR="00D92FD9" w:rsidRPr="006D6C3D" w:rsidRDefault="00D92FD9" w:rsidP="00327688">
            <w:pPr>
              <w:widowControl/>
              <w:snapToGrid w:val="0"/>
              <w:rPr>
                <w:rFonts w:ascii="Calibri" w:eastAsia="細明體" w:hAnsi="Calibri" w:cs="Calibri"/>
                <w:sz w:val="16"/>
                <w:szCs w:val="16"/>
              </w:rPr>
            </w:pPr>
            <w:r w:rsidRPr="006D6C3D">
              <w:rPr>
                <w:rFonts w:ascii="Calibri" w:eastAsia="細明體" w:hAnsi="Calibri" w:cs="Calibri"/>
                <w:sz w:val="16"/>
                <w:szCs w:val="16"/>
              </w:rPr>
              <w:t>Developed an index to measure consumer propensity to adopt smart meters in residential buildings</w:t>
            </w:r>
          </w:p>
        </w:tc>
        <w:tc>
          <w:tcPr>
            <w:tcW w:w="1075" w:type="pct"/>
            <w:vMerge/>
          </w:tcPr>
          <w:p w:rsidR="00D92FD9" w:rsidRPr="006D6C3D" w:rsidRDefault="00D92FD9" w:rsidP="00327688">
            <w:pPr>
              <w:spacing w:line="240" w:lineRule="exact"/>
              <w:rPr>
                <w:rFonts w:ascii="Calibri" w:eastAsia="細明體" w:hAnsi="Calibri" w:cs="Calibri"/>
                <w:sz w:val="16"/>
                <w:szCs w:val="16"/>
              </w:rPr>
            </w:pPr>
          </w:p>
        </w:tc>
        <w:tc>
          <w:tcPr>
            <w:tcW w:w="661" w:type="pct"/>
            <w:vMerge/>
          </w:tcPr>
          <w:p w:rsidR="00D92FD9" w:rsidRPr="006D6C3D" w:rsidRDefault="00D92FD9" w:rsidP="00327688">
            <w:pPr>
              <w:spacing w:line="240" w:lineRule="exact"/>
              <w:rPr>
                <w:rFonts w:ascii="Calibri" w:eastAsia="細明體" w:hAnsi="Calibri" w:cs="Calibri"/>
                <w:sz w:val="16"/>
                <w:szCs w:val="16"/>
              </w:rPr>
            </w:pPr>
          </w:p>
        </w:tc>
      </w:tr>
      <w:tr w:rsidR="00D92FD9" w:rsidRPr="006D6C3D" w:rsidTr="00327688">
        <w:trPr>
          <w:cantSplit/>
          <w:trHeight w:val="37"/>
        </w:trPr>
        <w:tc>
          <w:tcPr>
            <w:tcW w:w="268" w:type="pct"/>
            <w:vMerge/>
            <w:textDirection w:val="btLr"/>
          </w:tcPr>
          <w:p w:rsidR="00D92FD9" w:rsidRPr="006D6C3D" w:rsidRDefault="00D92FD9" w:rsidP="00327688">
            <w:pPr>
              <w:widowControl/>
              <w:snapToGrid w:val="0"/>
              <w:ind w:left="113" w:right="113"/>
              <w:rPr>
                <w:rFonts w:eastAsia="標楷體"/>
                <w:sz w:val="16"/>
                <w:szCs w:val="16"/>
              </w:rPr>
            </w:pPr>
          </w:p>
        </w:tc>
        <w:tc>
          <w:tcPr>
            <w:tcW w:w="216" w:type="pct"/>
            <w:vMerge/>
            <w:textDirection w:val="btLr"/>
          </w:tcPr>
          <w:p w:rsidR="00D92FD9" w:rsidRPr="006D6C3D" w:rsidRDefault="00D92FD9" w:rsidP="00327688">
            <w:pPr>
              <w:widowControl/>
              <w:snapToGrid w:val="0"/>
              <w:ind w:left="113" w:right="113"/>
              <w:rPr>
                <w:rFonts w:eastAsia="標楷體"/>
                <w:b/>
                <w:sz w:val="16"/>
                <w:szCs w:val="16"/>
              </w:rPr>
            </w:pPr>
          </w:p>
        </w:tc>
        <w:tc>
          <w:tcPr>
            <w:tcW w:w="301" w:type="pct"/>
            <w:vAlign w:val="center"/>
          </w:tcPr>
          <w:p w:rsidR="00D92FD9" w:rsidRPr="009F31F8" w:rsidRDefault="00D92FD9" w:rsidP="00327688">
            <w:pPr>
              <w:widowControl/>
              <w:snapToGrid w:val="0"/>
              <w:jc w:val="center"/>
              <w:rPr>
                <w:rFonts w:ascii="Calibri" w:eastAsia="標楷體" w:hAnsi="Calibri" w:cs="Calibri"/>
                <w:sz w:val="16"/>
                <w:szCs w:val="16"/>
              </w:rPr>
            </w:pPr>
            <w:r w:rsidRPr="009F31F8">
              <w:rPr>
                <w:rFonts w:ascii="Calibri" w:eastAsia="標楷體" w:hAnsi="Calibri" w:cs="Calibri"/>
                <w:sz w:val="16"/>
                <w:szCs w:val="16"/>
              </w:rPr>
              <w:t>30</w:t>
            </w:r>
          </w:p>
        </w:tc>
        <w:tc>
          <w:tcPr>
            <w:tcW w:w="813" w:type="pct"/>
          </w:tcPr>
          <w:p w:rsidR="00D92FD9" w:rsidRPr="006D6C3D" w:rsidRDefault="00D92FD9" w:rsidP="00327688">
            <w:pPr>
              <w:widowControl/>
              <w:spacing w:line="240" w:lineRule="exact"/>
              <w:rPr>
                <w:rFonts w:ascii="Calibri" w:eastAsia="細明體" w:hAnsi="Calibri" w:cs="Calibri"/>
                <w:sz w:val="16"/>
                <w:szCs w:val="16"/>
                <w:lang w:val="id-ID"/>
              </w:rPr>
            </w:pPr>
            <w:r w:rsidRPr="003A6FDF">
              <w:rPr>
                <w:rFonts w:eastAsia="標楷體"/>
                <w:szCs w:val="16"/>
              </w:rPr>
              <w:t>(</w:t>
            </w:r>
            <w:r w:rsidRPr="003A6FDF">
              <w:rPr>
                <w:rFonts w:eastAsia="標楷體"/>
                <w:szCs w:val="16"/>
              </w:rPr>
              <w:t>略</w:t>
            </w:r>
            <w:r w:rsidRPr="003A6FDF">
              <w:rPr>
                <w:rFonts w:eastAsia="標楷體"/>
                <w:szCs w:val="16"/>
              </w:rPr>
              <w:t>)</w:t>
            </w:r>
          </w:p>
        </w:tc>
        <w:tc>
          <w:tcPr>
            <w:tcW w:w="589" w:type="pct"/>
          </w:tcPr>
          <w:p w:rsidR="00D92FD9" w:rsidRPr="006D6C3D" w:rsidRDefault="00D92FD9" w:rsidP="00327688">
            <w:pPr>
              <w:spacing w:line="240" w:lineRule="exact"/>
              <w:rPr>
                <w:rFonts w:ascii="Calibri" w:eastAsia="細明體" w:hAnsi="Calibri" w:cs="Calibri"/>
                <w:sz w:val="16"/>
                <w:szCs w:val="16"/>
              </w:rPr>
            </w:pPr>
          </w:p>
        </w:tc>
        <w:tc>
          <w:tcPr>
            <w:tcW w:w="1075" w:type="pct"/>
          </w:tcPr>
          <w:p w:rsidR="00D92FD9" w:rsidRPr="006D6C3D" w:rsidRDefault="00D92FD9" w:rsidP="00327688">
            <w:pPr>
              <w:spacing w:before="0" w:beforeAutospacing="0" w:after="0" w:afterAutospacing="0" w:line="240" w:lineRule="exact"/>
              <w:rPr>
                <w:rFonts w:ascii="Calibri" w:eastAsia="細明體" w:hAnsi="Calibri" w:cs="Calibri"/>
                <w:sz w:val="16"/>
                <w:szCs w:val="16"/>
              </w:rPr>
            </w:pPr>
          </w:p>
        </w:tc>
        <w:tc>
          <w:tcPr>
            <w:tcW w:w="1075" w:type="pct"/>
          </w:tcPr>
          <w:p w:rsidR="00D92FD9" w:rsidRPr="006D6C3D" w:rsidRDefault="00D92FD9" w:rsidP="00327688">
            <w:pPr>
              <w:spacing w:line="240" w:lineRule="exact"/>
              <w:rPr>
                <w:rFonts w:ascii="Calibri" w:eastAsia="細明體" w:hAnsi="Calibri" w:cs="Calibri"/>
                <w:sz w:val="16"/>
                <w:szCs w:val="16"/>
              </w:rPr>
            </w:pPr>
          </w:p>
        </w:tc>
        <w:tc>
          <w:tcPr>
            <w:tcW w:w="661" w:type="pct"/>
          </w:tcPr>
          <w:p w:rsidR="00D92FD9" w:rsidRPr="006D6C3D" w:rsidRDefault="00D92FD9" w:rsidP="00327688">
            <w:pPr>
              <w:spacing w:line="240" w:lineRule="exact"/>
              <w:rPr>
                <w:rFonts w:ascii="Calibri" w:eastAsia="細明體" w:hAnsi="Calibri" w:cs="Calibri"/>
                <w:sz w:val="16"/>
                <w:szCs w:val="16"/>
              </w:rPr>
            </w:pPr>
          </w:p>
        </w:tc>
      </w:tr>
      <w:bookmarkEnd w:id="0"/>
    </w:tbl>
    <w:p w:rsidR="00C00653" w:rsidRDefault="00C00653" w:rsidP="00D92FD9"/>
    <w:sectPr w:rsidR="00C00653" w:rsidSect="00D92FD9">
      <w:pgSz w:w="12240" w:h="15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D9"/>
    <w:rsid w:val="005C49B5"/>
    <w:rsid w:val="006326A8"/>
    <w:rsid w:val="0069485B"/>
    <w:rsid w:val="00731F77"/>
    <w:rsid w:val="0083318F"/>
    <w:rsid w:val="00C00653"/>
    <w:rsid w:val="00CE1DCD"/>
    <w:rsid w:val="00D71735"/>
    <w:rsid w:val="00D92FD9"/>
    <w:rsid w:val="00E607B8"/>
    <w:rsid w:val="00F229FD"/>
    <w:rsid w:val="00FD443C"/>
    <w:rsid w:val="00FE088C"/>
    <w:rsid w:val="00FF1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4C54"/>
  <w15:chartTrackingRefBased/>
  <w15:docId w15:val="{B1677A54-7E84-4F22-A2EB-02205F85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FD9"/>
    <w:pPr>
      <w:widowControl w:val="0"/>
      <w:spacing w:before="100" w:beforeAutospacing="1" w:after="100" w:afterAutospacing="1"/>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F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1DCD"/>
    <w:pPr>
      <w:spacing w:before="0" w:after="0"/>
    </w:pPr>
    <w:rPr>
      <w:rFonts w:ascii="Segoe UI" w:hAnsi="Segoe UI" w:cs="Segoe UI"/>
      <w:sz w:val="18"/>
      <w:szCs w:val="18"/>
    </w:rPr>
  </w:style>
  <w:style w:type="character" w:customStyle="1" w:styleId="a5">
    <w:name w:val="註解方塊文字 字元"/>
    <w:basedOn w:val="a0"/>
    <w:link w:val="a4"/>
    <w:uiPriority w:val="99"/>
    <w:semiHidden/>
    <w:rsid w:val="00CE1DCD"/>
    <w:rPr>
      <w:rFonts w:ascii="Segoe UI" w:eastAsia="新細明體"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8596</Characters>
  <Application>Microsoft Office Word</Application>
  <DocSecurity>4</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Rayson Chou</dc:creator>
  <cp:keywords/>
  <dc:description/>
  <cp:lastModifiedBy>Rayson Chou</cp:lastModifiedBy>
  <cp:revision>2</cp:revision>
  <dcterms:created xsi:type="dcterms:W3CDTF">2019-10-03T13:56:00Z</dcterms:created>
  <dcterms:modified xsi:type="dcterms:W3CDTF">2019-10-03T13:56:00Z</dcterms:modified>
</cp:coreProperties>
</file>